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9E" w:rsidRPr="00765D12" w:rsidRDefault="00514A7E" w:rsidP="003028EF">
      <w:pPr>
        <w:snapToGrid w:val="0"/>
        <w:spacing w:line="300" w:lineRule="auto"/>
        <w:jc w:val="center"/>
        <w:rPr>
          <w:rFonts w:asciiTheme="minorEastAsia" w:eastAsiaTheme="minorEastAsia" w:hAnsiTheme="minorEastAsia"/>
          <w:b/>
          <w:kern w:val="0"/>
          <w:sz w:val="32"/>
          <w:szCs w:val="32"/>
          <w:lang w:eastAsia="zh-CN"/>
        </w:rPr>
      </w:pPr>
      <w:r w:rsidRPr="00765D12">
        <w:rPr>
          <w:rFonts w:asciiTheme="minorEastAsia" w:eastAsiaTheme="minorEastAsia" w:hAnsiTheme="minorEastAsia"/>
          <w:b/>
          <w:kern w:val="0"/>
          <w:sz w:val="32"/>
          <w:szCs w:val="32"/>
          <w:lang w:eastAsia="zh-CN"/>
        </w:rPr>
        <w:t>中国平安</w:t>
      </w:r>
      <w:r w:rsidR="0071709E" w:rsidRPr="00765D12">
        <w:rPr>
          <w:rFonts w:asciiTheme="minorEastAsia" w:eastAsiaTheme="minorEastAsia" w:hAnsiTheme="minorEastAsia"/>
          <w:b/>
          <w:kern w:val="0"/>
          <w:sz w:val="32"/>
          <w:szCs w:val="32"/>
          <w:lang w:eastAsia="zh-CN"/>
        </w:rPr>
        <w:t>保险</w:t>
      </w:r>
      <w:r w:rsidRPr="00765D12">
        <w:rPr>
          <w:rFonts w:asciiTheme="minorEastAsia" w:eastAsiaTheme="minorEastAsia" w:hAnsiTheme="minorEastAsia" w:hint="eastAsia"/>
          <w:b/>
          <w:kern w:val="0"/>
          <w:sz w:val="32"/>
          <w:szCs w:val="32"/>
          <w:lang w:eastAsia="zh-CN"/>
        </w:rPr>
        <w:t>（集团）</w:t>
      </w:r>
      <w:r w:rsidR="0071709E" w:rsidRPr="00765D12">
        <w:rPr>
          <w:rFonts w:asciiTheme="minorEastAsia" w:eastAsiaTheme="minorEastAsia" w:hAnsiTheme="minorEastAsia"/>
          <w:b/>
          <w:kern w:val="0"/>
          <w:sz w:val="32"/>
          <w:szCs w:val="32"/>
          <w:lang w:eastAsia="zh-CN"/>
        </w:rPr>
        <w:t>股份有限公司</w:t>
      </w:r>
    </w:p>
    <w:p w:rsidR="0044169D" w:rsidRPr="00765D12" w:rsidRDefault="003A27F9" w:rsidP="003028EF">
      <w:pPr>
        <w:snapToGrid w:val="0"/>
        <w:spacing w:line="300" w:lineRule="auto"/>
        <w:jc w:val="center"/>
        <w:rPr>
          <w:rFonts w:asciiTheme="minorEastAsia" w:eastAsiaTheme="minorEastAsia" w:hAnsiTheme="minorEastAsia"/>
          <w:b/>
          <w:kern w:val="0"/>
          <w:sz w:val="32"/>
          <w:szCs w:val="32"/>
          <w:lang w:eastAsia="zh-CN"/>
        </w:rPr>
      </w:pPr>
      <w:r w:rsidRPr="00765D12">
        <w:rPr>
          <w:rFonts w:asciiTheme="minorEastAsia" w:eastAsiaTheme="minorEastAsia" w:hAnsiTheme="minorEastAsia"/>
          <w:b/>
          <w:kern w:val="0"/>
          <w:sz w:val="32"/>
          <w:szCs w:val="32"/>
          <w:lang w:eastAsia="zh-CN"/>
        </w:rPr>
        <w:t>关于</w:t>
      </w:r>
      <w:r w:rsidR="00F3595B" w:rsidRPr="00765D12">
        <w:rPr>
          <w:rFonts w:asciiTheme="minorEastAsia" w:eastAsiaTheme="minorEastAsia" w:hAnsiTheme="minorEastAsia" w:hint="eastAsia"/>
          <w:b/>
          <w:kern w:val="0"/>
          <w:sz w:val="32"/>
          <w:szCs w:val="32"/>
          <w:lang w:eastAsia="zh-CN"/>
        </w:rPr>
        <w:t>与</w:t>
      </w:r>
      <w:r w:rsidR="00EF1E3B" w:rsidRPr="00765D12">
        <w:rPr>
          <w:rFonts w:asciiTheme="minorEastAsia" w:eastAsiaTheme="minorEastAsia" w:hAnsiTheme="minorEastAsia" w:hint="eastAsia"/>
          <w:b/>
          <w:kern w:val="0"/>
          <w:sz w:val="32"/>
          <w:szCs w:val="32"/>
          <w:lang w:eastAsia="zh-CN"/>
        </w:rPr>
        <w:t>平安银行</w:t>
      </w:r>
      <w:r w:rsidR="00CD66E2">
        <w:rPr>
          <w:rFonts w:asciiTheme="minorEastAsia" w:eastAsiaTheme="minorEastAsia" w:hAnsiTheme="minorEastAsia" w:hint="eastAsia"/>
          <w:b/>
          <w:kern w:val="0"/>
          <w:sz w:val="32"/>
          <w:szCs w:val="32"/>
          <w:lang w:eastAsia="zh-CN"/>
        </w:rPr>
        <w:t>股份有限公司</w:t>
      </w:r>
      <w:r w:rsidR="00EF1E3B" w:rsidRPr="00765D12">
        <w:rPr>
          <w:rFonts w:asciiTheme="minorEastAsia" w:eastAsiaTheme="minorEastAsia" w:hAnsiTheme="minorEastAsia" w:hint="eastAsia"/>
          <w:b/>
          <w:kern w:val="0"/>
          <w:sz w:val="32"/>
          <w:szCs w:val="32"/>
          <w:lang w:eastAsia="zh-CN"/>
        </w:rPr>
        <w:t>签署统一存款协议</w:t>
      </w:r>
      <w:r w:rsidR="0071709E" w:rsidRPr="00765D12">
        <w:rPr>
          <w:rFonts w:asciiTheme="minorEastAsia" w:eastAsiaTheme="minorEastAsia" w:hAnsiTheme="minorEastAsia"/>
          <w:b/>
          <w:kern w:val="0"/>
          <w:sz w:val="32"/>
          <w:szCs w:val="32"/>
          <w:lang w:eastAsia="zh-CN"/>
        </w:rPr>
        <w:t>的</w:t>
      </w:r>
    </w:p>
    <w:p w:rsidR="0071709E" w:rsidRPr="00765D12" w:rsidRDefault="0044169D" w:rsidP="003028EF">
      <w:pPr>
        <w:snapToGrid w:val="0"/>
        <w:spacing w:line="300" w:lineRule="auto"/>
        <w:jc w:val="center"/>
        <w:rPr>
          <w:rFonts w:asciiTheme="minorEastAsia" w:eastAsiaTheme="minorEastAsia" w:hAnsiTheme="minorEastAsia"/>
          <w:b/>
          <w:kern w:val="0"/>
          <w:sz w:val="32"/>
          <w:szCs w:val="32"/>
          <w:lang w:eastAsia="zh-CN"/>
        </w:rPr>
      </w:pPr>
      <w:r w:rsidRPr="00765D12">
        <w:rPr>
          <w:rFonts w:asciiTheme="minorEastAsia" w:eastAsiaTheme="minorEastAsia" w:hAnsiTheme="minorEastAsia" w:hint="eastAsia"/>
          <w:b/>
          <w:kern w:val="0"/>
          <w:sz w:val="32"/>
          <w:szCs w:val="32"/>
          <w:lang w:eastAsia="zh-CN"/>
        </w:rPr>
        <w:t>信息披露</w:t>
      </w:r>
      <w:r w:rsidR="0071709E" w:rsidRPr="00765D12">
        <w:rPr>
          <w:rFonts w:asciiTheme="minorEastAsia" w:eastAsiaTheme="minorEastAsia" w:hAnsiTheme="minorEastAsia"/>
          <w:b/>
          <w:kern w:val="0"/>
          <w:sz w:val="32"/>
          <w:szCs w:val="32"/>
          <w:lang w:eastAsia="zh-CN"/>
        </w:rPr>
        <w:t>公告</w:t>
      </w:r>
    </w:p>
    <w:p w:rsidR="00C311B0" w:rsidRPr="00C311B0" w:rsidRDefault="00C311B0" w:rsidP="00C311B0">
      <w:pPr>
        <w:autoSpaceDE w:val="0"/>
        <w:autoSpaceDN w:val="0"/>
        <w:adjustRightInd w:val="0"/>
        <w:rPr>
          <w:rFonts w:ascii="仿宋_GB2312" w:eastAsia="仿宋_GB2312" w:hAnsiTheme="minorHAnsi" w:cs="仿宋_GB2312"/>
          <w:color w:val="000000"/>
          <w:kern w:val="0"/>
          <w:szCs w:val="24"/>
          <w:lang w:eastAsia="zh-CN"/>
        </w:rPr>
      </w:pPr>
    </w:p>
    <w:p w:rsidR="004D71BB" w:rsidRPr="00CA2379" w:rsidRDefault="00C311B0" w:rsidP="009C22EE">
      <w:pPr>
        <w:snapToGrid w:val="0"/>
        <w:spacing w:beforeLines="50" w:before="156" w:line="360" w:lineRule="auto"/>
        <w:ind w:firstLineChars="200" w:firstLine="560"/>
        <w:jc w:val="both"/>
        <w:rPr>
          <w:rFonts w:asciiTheme="minorEastAsia" w:eastAsiaTheme="minorEastAsia" w:hAnsiTheme="minorEastAsia"/>
          <w:sz w:val="28"/>
          <w:szCs w:val="28"/>
        </w:rPr>
      </w:pPr>
      <w:r w:rsidRPr="009C22EE">
        <w:rPr>
          <w:rFonts w:asciiTheme="minorEastAsia" w:eastAsiaTheme="minorEastAsia" w:hAnsiTheme="minorEastAsia"/>
          <w:sz w:val="28"/>
          <w:szCs w:val="28"/>
        </w:rPr>
        <w:t xml:space="preserve"> </w:t>
      </w:r>
      <w:r w:rsidRPr="009C22EE">
        <w:rPr>
          <w:rFonts w:asciiTheme="minorEastAsia" w:eastAsiaTheme="minorEastAsia" w:hAnsiTheme="minorEastAsia" w:hint="eastAsia"/>
          <w:sz w:val="28"/>
          <w:szCs w:val="28"/>
        </w:rPr>
        <w:t>根据中国保险监督管理委员会《保险公司关联交易管理暂行办法》（保监发〔</w:t>
      </w:r>
      <w:r w:rsidRPr="009C22EE">
        <w:rPr>
          <w:rFonts w:asciiTheme="minorEastAsia" w:eastAsiaTheme="minorEastAsia" w:hAnsiTheme="minorEastAsia"/>
          <w:sz w:val="28"/>
          <w:szCs w:val="28"/>
        </w:rPr>
        <w:t>2007</w:t>
      </w:r>
      <w:r w:rsidRPr="009C22EE">
        <w:rPr>
          <w:rFonts w:asciiTheme="minorEastAsia" w:eastAsiaTheme="minorEastAsia" w:hAnsiTheme="minorEastAsia" w:hint="eastAsia"/>
          <w:sz w:val="28"/>
          <w:szCs w:val="28"/>
        </w:rPr>
        <w:t>〕</w:t>
      </w:r>
      <w:r w:rsidRPr="009C22EE">
        <w:rPr>
          <w:rFonts w:asciiTheme="minorEastAsia" w:eastAsiaTheme="minorEastAsia" w:hAnsiTheme="minorEastAsia"/>
          <w:sz w:val="28"/>
          <w:szCs w:val="28"/>
        </w:rPr>
        <w:t>24</w:t>
      </w:r>
      <w:r w:rsidRPr="009C22EE">
        <w:rPr>
          <w:rFonts w:asciiTheme="minorEastAsia" w:eastAsiaTheme="minorEastAsia" w:hAnsiTheme="minorEastAsia" w:hint="eastAsia"/>
          <w:sz w:val="28"/>
          <w:szCs w:val="28"/>
        </w:rPr>
        <w:t>号）、《关于执行〈保险公司关联交易管理暂行办法〉有关问题的通知》（保监发〔</w:t>
      </w:r>
      <w:r w:rsidRPr="009C22EE">
        <w:rPr>
          <w:rFonts w:asciiTheme="minorEastAsia" w:eastAsiaTheme="minorEastAsia" w:hAnsiTheme="minorEastAsia"/>
          <w:sz w:val="28"/>
          <w:szCs w:val="28"/>
        </w:rPr>
        <w:t>2008</w:t>
      </w:r>
      <w:r w:rsidRPr="009C22EE">
        <w:rPr>
          <w:rFonts w:asciiTheme="minorEastAsia" w:eastAsiaTheme="minorEastAsia" w:hAnsiTheme="minorEastAsia" w:hint="eastAsia"/>
          <w:sz w:val="28"/>
          <w:szCs w:val="28"/>
        </w:rPr>
        <w:t>〕</w:t>
      </w:r>
      <w:r w:rsidRPr="009C22EE">
        <w:rPr>
          <w:rFonts w:asciiTheme="minorEastAsia" w:eastAsiaTheme="minorEastAsia" w:hAnsiTheme="minorEastAsia"/>
          <w:sz w:val="28"/>
          <w:szCs w:val="28"/>
        </w:rPr>
        <w:t>88</w:t>
      </w:r>
      <w:r w:rsidRPr="009C22EE">
        <w:rPr>
          <w:rFonts w:asciiTheme="minorEastAsia" w:eastAsiaTheme="minorEastAsia" w:hAnsiTheme="minorEastAsia" w:hint="eastAsia"/>
          <w:sz w:val="28"/>
          <w:szCs w:val="28"/>
        </w:rPr>
        <w:t>号）、《保险公司信息披露管理办法》（保监会令〔</w:t>
      </w:r>
      <w:r w:rsidRPr="009C22EE">
        <w:rPr>
          <w:rFonts w:asciiTheme="minorEastAsia" w:eastAsiaTheme="minorEastAsia" w:hAnsiTheme="minorEastAsia"/>
          <w:sz w:val="28"/>
          <w:szCs w:val="28"/>
        </w:rPr>
        <w:t>2010</w:t>
      </w:r>
      <w:r w:rsidRPr="009C22EE">
        <w:rPr>
          <w:rFonts w:asciiTheme="minorEastAsia" w:eastAsiaTheme="minorEastAsia" w:hAnsiTheme="minorEastAsia" w:hint="eastAsia"/>
          <w:sz w:val="28"/>
          <w:szCs w:val="28"/>
        </w:rPr>
        <w:t>〕</w:t>
      </w:r>
      <w:r w:rsidRPr="009C22EE">
        <w:rPr>
          <w:rFonts w:asciiTheme="minorEastAsia" w:eastAsiaTheme="minorEastAsia" w:hAnsiTheme="minorEastAsia"/>
          <w:sz w:val="28"/>
          <w:szCs w:val="28"/>
        </w:rPr>
        <w:t>7</w:t>
      </w:r>
      <w:r w:rsidRPr="009C22EE">
        <w:rPr>
          <w:rFonts w:asciiTheme="minorEastAsia" w:eastAsiaTheme="minorEastAsia" w:hAnsiTheme="minorEastAsia" w:hint="eastAsia"/>
          <w:sz w:val="28"/>
          <w:szCs w:val="28"/>
        </w:rPr>
        <w:t>号）、《保险公司资金运用信息披露准则第</w:t>
      </w:r>
      <w:r w:rsidRPr="009C22EE">
        <w:rPr>
          <w:rFonts w:asciiTheme="minorEastAsia" w:eastAsiaTheme="minorEastAsia" w:hAnsiTheme="minorEastAsia"/>
          <w:sz w:val="28"/>
          <w:szCs w:val="28"/>
        </w:rPr>
        <w:t>1</w:t>
      </w:r>
      <w:r w:rsidRPr="009C22EE">
        <w:rPr>
          <w:rFonts w:asciiTheme="minorEastAsia" w:eastAsiaTheme="minorEastAsia" w:hAnsiTheme="minorEastAsia" w:hint="eastAsia"/>
          <w:sz w:val="28"/>
          <w:szCs w:val="28"/>
        </w:rPr>
        <w:t>号：关联交易》（保监发〔</w:t>
      </w:r>
      <w:r w:rsidRPr="009C22EE">
        <w:rPr>
          <w:rFonts w:asciiTheme="minorEastAsia" w:eastAsiaTheme="minorEastAsia" w:hAnsiTheme="minorEastAsia"/>
          <w:sz w:val="28"/>
          <w:szCs w:val="28"/>
        </w:rPr>
        <w:t>2014</w:t>
      </w:r>
      <w:r w:rsidRPr="009C22EE">
        <w:rPr>
          <w:rFonts w:asciiTheme="minorEastAsia" w:eastAsiaTheme="minorEastAsia" w:hAnsiTheme="minorEastAsia" w:hint="eastAsia"/>
          <w:sz w:val="28"/>
          <w:szCs w:val="28"/>
        </w:rPr>
        <w:t>〕</w:t>
      </w:r>
      <w:r w:rsidRPr="009C22EE">
        <w:rPr>
          <w:rFonts w:asciiTheme="minorEastAsia" w:eastAsiaTheme="minorEastAsia" w:hAnsiTheme="minorEastAsia"/>
          <w:sz w:val="28"/>
          <w:szCs w:val="28"/>
        </w:rPr>
        <w:t>44</w:t>
      </w:r>
      <w:r w:rsidRPr="009C22EE">
        <w:rPr>
          <w:rFonts w:asciiTheme="minorEastAsia" w:eastAsiaTheme="minorEastAsia" w:hAnsiTheme="minorEastAsia" w:hint="eastAsia"/>
          <w:sz w:val="28"/>
          <w:szCs w:val="28"/>
        </w:rPr>
        <w:t>号）、《关于进一步加强保险公司关联交易信息披露工作有关问题的通知》（保监发〔</w:t>
      </w:r>
      <w:r w:rsidRPr="009C22EE">
        <w:rPr>
          <w:rFonts w:asciiTheme="minorEastAsia" w:eastAsiaTheme="minorEastAsia" w:hAnsiTheme="minorEastAsia"/>
          <w:sz w:val="28"/>
          <w:szCs w:val="28"/>
        </w:rPr>
        <w:t>2016</w:t>
      </w:r>
      <w:r w:rsidRPr="009C22EE">
        <w:rPr>
          <w:rFonts w:asciiTheme="minorEastAsia" w:eastAsiaTheme="minorEastAsia" w:hAnsiTheme="minorEastAsia" w:hint="eastAsia"/>
          <w:sz w:val="28"/>
          <w:szCs w:val="28"/>
        </w:rPr>
        <w:t>〕</w:t>
      </w:r>
      <w:r w:rsidRPr="009C22EE">
        <w:rPr>
          <w:rFonts w:asciiTheme="minorEastAsia" w:eastAsiaTheme="minorEastAsia" w:hAnsiTheme="minorEastAsia"/>
          <w:sz w:val="28"/>
          <w:szCs w:val="28"/>
        </w:rPr>
        <w:t>52</w:t>
      </w:r>
      <w:r w:rsidRPr="009C22EE">
        <w:rPr>
          <w:rFonts w:asciiTheme="minorEastAsia" w:eastAsiaTheme="minorEastAsia" w:hAnsiTheme="minorEastAsia" w:hint="eastAsia"/>
          <w:sz w:val="28"/>
          <w:szCs w:val="28"/>
        </w:rPr>
        <w:t>号）、《关于进一步加强保险公司关联交易管理有关事项的通知》（保监发〔</w:t>
      </w:r>
      <w:r w:rsidRPr="009C22EE">
        <w:rPr>
          <w:rFonts w:asciiTheme="minorEastAsia" w:eastAsiaTheme="minorEastAsia" w:hAnsiTheme="minorEastAsia"/>
          <w:sz w:val="28"/>
          <w:szCs w:val="28"/>
        </w:rPr>
        <w:t>2017</w:t>
      </w:r>
      <w:r w:rsidRPr="009C22EE">
        <w:rPr>
          <w:rFonts w:asciiTheme="minorEastAsia" w:eastAsiaTheme="minorEastAsia" w:hAnsiTheme="minorEastAsia" w:hint="eastAsia"/>
          <w:sz w:val="28"/>
          <w:szCs w:val="28"/>
        </w:rPr>
        <w:t>〕</w:t>
      </w:r>
      <w:r w:rsidRPr="009C22EE">
        <w:rPr>
          <w:rFonts w:asciiTheme="minorEastAsia" w:eastAsiaTheme="minorEastAsia" w:hAnsiTheme="minorEastAsia"/>
          <w:sz w:val="28"/>
          <w:szCs w:val="28"/>
        </w:rPr>
        <w:t>52</w:t>
      </w:r>
      <w:r w:rsidRPr="009C22EE">
        <w:rPr>
          <w:rFonts w:asciiTheme="minorEastAsia" w:eastAsiaTheme="minorEastAsia" w:hAnsiTheme="minorEastAsia" w:hint="eastAsia"/>
          <w:sz w:val="28"/>
          <w:szCs w:val="28"/>
        </w:rPr>
        <w:t>号）等相关规定</w:t>
      </w:r>
      <w:r w:rsidR="0071709E" w:rsidRPr="00CA2379">
        <w:rPr>
          <w:rFonts w:asciiTheme="minorEastAsia" w:eastAsiaTheme="minorEastAsia" w:hAnsiTheme="minorEastAsia"/>
          <w:sz w:val="28"/>
          <w:szCs w:val="28"/>
        </w:rPr>
        <w:t>，</w:t>
      </w:r>
      <w:r w:rsidR="0044169D" w:rsidRPr="00CA2379">
        <w:rPr>
          <w:rFonts w:asciiTheme="minorEastAsia" w:eastAsiaTheme="minorEastAsia" w:hAnsiTheme="minorEastAsia" w:hint="eastAsia"/>
          <w:sz w:val="28"/>
          <w:szCs w:val="28"/>
        </w:rPr>
        <w:t>现将</w:t>
      </w:r>
      <w:r w:rsidR="00514A7E" w:rsidRPr="00CA2379">
        <w:rPr>
          <w:rFonts w:asciiTheme="minorEastAsia" w:eastAsiaTheme="minorEastAsia" w:hAnsiTheme="minorEastAsia" w:hint="eastAsia"/>
          <w:sz w:val="28"/>
          <w:szCs w:val="28"/>
        </w:rPr>
        <w:t>中国平安</w:t>
      </w:r>
      <w:r w:rsidR="00FB2D5A" w:rsidRPr="00CA2379">
        <w:rPr>
          <w:rFonts w:asciiTheme="minorEastAsia" w:eastAsiaTheme="minorEastAsia" w:hAnsiTheme="minorEastAsia" w:hint="eastAsia"/>
          <w:sz w:val="28"/>
          <w:szCs w:val="28"/>
        </w:rPr>
        <w:t>保险</w:t>
      </w:r>
      <w:r w:rsidR="00514A7E" w:rsidRPr="00CA2379">
        <w:rPr>
          <w:rFonts w:asciiTheme="minorEastAsia" w:eastAsiaTheme="minorEastAsia" w:hAnsiTheme="minorEastAsia" w:hint="eastAsia"/>
          <w:sz w:val="28"/>
          <w:szCs w:val="28"/>
        </w:rPr>
        <w:t>（集团）</w:t>
      </w:r>
      <w:r w:rsidR="00FB2D5A" w:rsidRPr="00CA2379">
        <w:rPr>
          <w:rFonts w:asciiTheme="minorEastAsia" w:eastAsiaTheme="minorEastAsia" w:hAnsiTheme="minorEastAsia" w:hint="eastAsia"/>
          <w:sz w:val="28"/>
          <w:szCs w:val="28"/>
        </w:rPr>
        <w:t>股份有限公司（以下简称“</w:t>
      </w:r>
      <w:r w:rsidR="00C60A1F" w:rsidRPr="00CA2379">
        <w:rPr>
          <w:rFonts w:asciiTheme="minorEastAsia" w:eastAsiaTheme="minorEastAsia" w:hAnsiTheme="minorEastAsia" w:hint="eastAsia"/>
          <w:sz w:val="28"/>
          <w:szCs w:val="28"/>
        </w:rPr>
        <w:t>本公司</w:t>
      </w:r>
      <w:r w:rsidR="00FB2D5A" w:rsidRPr="00CA2379">
        <w:rPr>
          <w:rFonts w:asciiTheme="minorEastAsia" w:eastAsiaTheme="minorEastAsia" w:hAnsiTheme="minorEastAsia" w:hint="eastAsia"/>
          <w:sz w:val="28"/>
          <w:szCs w:val="28"/>
        </w:rPr>
        <w:t>”）</w:t>
      </w:r>
      <w:r w:rsidR="0044169D" w:rsidRPr="00CA2379">
        <w:rPr>
          <w:rFonts w:asciiTheme="minorEastAsia" w:eastAsiaTheme="minorEastAsia" w:hAnsiTheme="minorEastAsia" w:hint="eastAsia"/>
          <w:sz w:val="28"/>
          <w:szCs w:val="28"/>
        </w:rPr>
        <w:t>与</w:t>
      </w:r>
      <w:r w:rsidR="00883FCD" w:rsidRPr="00CA2379">
        <w:rPr>
          <w:rFonts w:asciiTheme="minorEastAsia" w:eastAsiaTheme="minorEastAsia" w:hAnsiTheme="minorEastAsia" w:hint="eastAsia"/>
          <w:sz w:val="28"/>
          <w:szCs w:val="28"/>
        </w:rPr>
        <w:t>平安银行股份有限公司（以下简称“平安银行”）</w:t>
      </w:r>
      <w:r w:rsidR="0044169D" w:rsidRPr="00CA2379">
        <w:rPr>
          <w:rFonts w:asciiTheme="minorEastAsia" w:eastAsiaTheme="minorEastAsia" w:hAnsiTheme="minorEastAsia" w:hint="eastAsia"/>
          <w:sz w:val="28"/>
          <w:szCs w:val="28"/>
        </w:rPr>
        <w:t>关联交易的有关信息披露如下：</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一、交易概述及交易标的的基本情况</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hint="eastAsia"/>
          <w:sz w:val="28"/>
          <w:szCs w:val="28"/>
        </w:rPr>
        <w:t>（一）交易概述</w:t>
      </w:r>
    </w:p>
    <w:p w:rsidR="00CA2379" w:rsidRPr="00BD355F" w:rsidRDefault="00CA2379" w:rsidP="00BD355F">
      <w:pPr>
        <w:spacing w:line="600" w:lineRule="exact"/>
        <w:ind w:firstLineChars="200" w:firstLine="560"/>
        <w:rPr>
          <w:rFonts w:ascii="宋体" w:eastAsiaTheme="minorEastAsia" w:hAnsi="宋体" w:hint="eastAsia"/>
          <w:szCs w:val="28"/>
          <w:lang w:eastAsia="zh-CN"/>
        </w:rPr>
      </w:pPr>
      <w:r w:rsidRPr="009C22EE">
        <w:rPr>
          <w:rFonts w:asciiTheme="minorEastAsia" w:eastAsiaTheme="minorEastAsia" w:hAnsiTheme="minorEastAsia"/>
          <w:sz w:val="28"/>
          <w:szCs w:val="28"/>
        </w:rPr>
        <w:t>根据保监会颁布的《保险公司关联交易管理暂行办法》（保监发〔2007〕24号，以下简称《管理办法》）第十七条，“保险公司与其关联方之间的长期、持续关联交易，可以制定统一的交易协议，按照本办法规定审查通过后执行。协议内的单笔交易可以不再进行关联交易审查”，因开展日常投资需要,本公司在平安银行的存款类交易具有长期、持续性的特点，为确保交易的时效性，本公司于201</w:t>
      </w:r>
      <w:r w:rsidR="00BD355F">
        <w:rPr>
          <w:rFonts w:asciiTheme="minorEastAsia" w:eastAsiaTheme="minorEastAsia" w:hAnsiTheme="minorEastAsia" w:hint="eastAsia"/>
          <w:sz w:val="28"/>
          <w:szCs w:val="28"/>
          <w:lang w:eastAsia="zh-CN"/>
        </w:rPr>
        <w:t>8</w:t>
      </w:r>
      <w:r w:rsidRPr="009C22EE">
        <w:rPr>
          <w:rFonts w:asciiTheme="minorEastAsia" w:eastAsiaTheme="minorEastAsia" w:hAnsiTheme="minorEastAsia"/>
          <w:sz w:val="28"/>
          <w:szCs w:val="28"/>
        </w:rPr>
        <w:t>年</w:t>
      </w:r>
      <w:r w:rsidR="00BD355F">
        <w:rPr>
          <w:rFonts w:asciiTheme="minorEastAsia" w:eastAsiaTheme="minorEastAsia" w:hAnsiTheme="minorEastAsia" w:hint="eastAsia"/>
          <w:sz w:val="28"/>
          <w:szCs w:val="28"/>
          <w:lang w:eastAsia="zh-CN"/>
        </w:rPr>
        <w:t>2</w:t>
      </w:r>
      <w:r w:rsidRPr="009C22EE">
        <w:rPr>
          <w:rFonts w:asciiTheme="minorEastAsia" w:eastAsiaTheme="minorEastAsia" w:hAnsiTheme="minorEastAsia"/>
          <w:sz w:val="28"/>
          <w:szCs w:val="28"/>
        </w:rPr>
        <w:t>月</w:t>
      </w:r>
      <w:r w:rsidR="00BD355F">
        <w:rPr>
          <w:rFonts w:asciiTheme="minorEastAsia" w:eastAsiaTheme="minorEastAsia" w:hAnsiTheme="minorEastAsia" w:hint="eastAsia"/>
          <w:sz w:val="28"/>
          <w:szCs w:val="28"/>
          <w:lang w:eastAsia="zh-CN"/>
        </w:rPr>
        <w:t>9</w:t>
      </w:r>
      <w:r w:rsidRPr="009C22EE">
        <w:rPr>
          <w:rFonts w:asciiTheme="minorEastAsia" w:eastAsiaTheme="minorEastAsia" w:hAnsiTheme="minorEastAsia"/>
          <w:sz w:val="28"/>
          <w:szCs w:val="28"/>
        </w:rPr>
        <w:t>日与平安银行签署了《统一存款协议》，</w:t>
      </w:r>
      <w:r w:rsidR="00BD355F" w:rsidRPr="00BD355F">
        <w:rPr>
          <w:rFonts w:asciiTheme="minorEastAsia" w:eastAsiaTheme="minorEastAsia" w:hAnsiTheme="minorEastAsia" w:hint="eastAsia"/>
          <w:sz w:val="28"/>
          <w:szCs w:val="28"/>
        </w:rPr>
        <w:t>在协议有效期内的任意一天，我公司在平安银行的存款交易单日持仓总额不超过等值人民币</w:t>
      </w:r>
      <w:r w:rsidR="00BD355F" w:rsidRPr="00BD355F">
        <w:rPr>
          <w:rFonts w:asciiTheme="minorEastAsia" w:eastAsiaTheme="minorEastAsia" w:hAnsiTheme="minorEastAsia" w:hint="eastAsia"/>
          <w:sz w:val="28"/>
          <w:szCs w:val="28"/>
        </w:rPr>
        <w:lastRenderedPageBreak/>
        <w:t>500亿元。</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（二）交易标的基本情况</w:t>
      </w:r>
    </w:p>
    <w:p w:rsidR="00BD355F" w:rsidRPr="009C22EE" w:rsidRDefault="00BD355F" w:rsidP="00BD355F">
      <w:pPr>
        <w:spacing w:line="600" w:lineRule="exact"/>
        <w:ind w:firstLineChars="200" w:firstLine="560"/>
        <w:rPr>
          <w:rFonts w:asciiTheme="minorEastAsia" w:eastAsiaTheme="minorEastAsia" w:hAnsiTheme="minorEastAsia" w:hint="eastAsia"/>
          <w:sz w:val="28"/>
          <w:szCs w:val="28"/>
        </w:rPr>
      </w:pPr>
      <w:r w:rsidRPr="00BD355F">
        <w:rPr>
          <w:rFonts w:asciiTheme="minorEastAsia" w:eastAsiaTheme="minorEastAsia" w:hAnsiTheme="minorEastAsia" w:hint="eastAsia"/>
          <w:sz w:val="28"/>
          <w:szCs w:val="28"/>
        </w:rPr>
        <w:t>交易标的为存款类投资业务（活期存款除外），包括但不限于通知存款、定期存款、协议存款、结构性存款、大额存单、同业存单等，具体以保监会规定为准。</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二、交易各方的关联关系和关联方基本情况</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（一）交易各方的关联关系</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平安银行为我公司直接控制的法人，构成我公司保监会层面以股权关系为基础的关联方。</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（二）关联方基本情况</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1．法人名称：平安银行股份有限公司；</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2．企业类型：上市股份有限公司；</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3．统一社会信用代码：91440300192185379H；</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4．注册资本：1,717,041.1366万人民币；</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5．经营范围：办理人民币存、贷、结算、汇兑业务；人民币票据承兑和贴现；各项信托业务；经监管机构批准发行或买卖人民币有价证券；外汇存款、汇款；境内境外借款；在境内境外发行或代理发行外币有价证券；贸易、非贸易结算；外币票据的承兑和贴现；外汇放款；代客买卖外汇及外币有价证券，自营外汇买卖；资信调查、咨询、见证业务；保险兼业代理业务；黄金进口业务；经有关监管机构批准或允许的其他业务。</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hint="eastAsia"/>
          <w:sz w:val="28"/>
          <w:szCs w:val="28"/>
        </w:rPr>
        <w:t>三、交易的定价政策及定价依据</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hint="eastAsia"/>
          <w:sz w:val="28"/>
          <w:szCs w:val="28"/>
        </w:rPr>
        <w:t>（一）定价政策</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lastRenderedPageBreak/>
        <w:t>存款利率按照中国人民银行公布的利率政策执行。无公布的利率政策的，存款利率按照同期市场公允价格水平计算，具体存款利率以单笔合同的约定为准。</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hint="eastAsia"/>
          <w:sz w:val="28"/>
          <w:szCs w:val="28"/>
        </w:rPr>
        <w:t>（二）定价依据</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中国人民银行公布的存款基准利率、存款利率浮动区间，或同期市场公允价格水平。</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四、交易协议的主要内容</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hint="eastAsia"/>
          <w:sz w:val="28"/>
          <w:szCs w:val="28"/>
        </w:rPr>
        <w:t>（一）交易价格</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本协议为统一协议，协议内单笔存款交易价格根据实际办理的存款类型，按照与银行约定的利率执行。</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（二）交易结算方式</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本协议为统一协议，协议内单笔存款交易根据实际办理的存款类型，按照与银行约定的付息周期结息。</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（三）协议生效条件、生效时间、履行期限</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生效条件为双方法定代表人或授权代理人签字并加盖公章；生效时间为201</w:t>
      </w:r>
      <w:r w:rsidR="00BD355F">
        <w:rPr>
          <w:rFonts w:asciiTheme="minorEastAsia" w:eastAsiaTheme="minorEastAsia" w:hAnsiTheme="minorEastAsia" w:hint="eastAsia"/>
          <w:sz w:val="28"/>
          <w:szCs w:val="28"/>
          <w:lang w:eastAsia="zh-CN"/>
        </w:rPr>
        <w:t>8</w:t>
      </w:r>
      <w:r w:rsidRPr="009C22EE">
        <w:rPr>
          <w:rFonts w:asciiTheme="minorEastAsia" w:eastAsiaTheme="minorEastAsia" w:hAnsiTheme="minorEastAsia"/>
          <w:sz w:val="28"/>
          <w:szCs w:val="28"/>
        </w:rPr>
        <w:t>年</w:t>
      </w:r>
      <w:r w:rsidR="00BD355F">
        <w:rPr>
          <w:rFonts w:asciiTheme="minorEastAsia" w:eastAsiaTheme="minorEastAsia" w:hAnsiTheme="minorEastAsia" w:hint="eastAsia"/>
          <w:sz w:val="28"/>
          <w:szCs w:val="28"/>
          <w:lang w:eastAsia="zh-CN"/>
        </w:rPr>
        <w:t>2</w:t>
      </w:r>
      <w:r w:rsidRPr="009C22EE">
        <w:rPr>
          <w:rFonts w:asciiTheme="minorEastAsia" w:eastAsiaTheme="minorEastAsia" w:hAnsiTheme="minorEastAsia"/>
          <w:sz w:val="28"/>
          <w:szCs w:val="28"/>
        </w:rPr>
        <w:t>月</w:t>
      </w:r>
      <w:r w:rsidR="00BD355F">
        <w:rPr>
          <w:rFonts w:asciiTheme="minorEastAsia" w:eastAsiaTheme="minorEastAsia" w:hAnsiTheme="minorEastAsia" w:hint="eastAsia"/>
          <w:sz w:val="28"/>
          <w:szCs w:val="28"/>
          <w:lang w:eastAsia="zh-CN"/>
        </w:rPr>
        <w:t>9</w:t>
      </w:r>
      <w:r w:rsidRPr="009C22EE">
        <w:rPr>
          <w:rFonts w:asciiTheme="minorEastAsia" w:eastAsiaTheme="minorEastAsia" w:hAnsiTheme="minorEastAsia"/>
          <w:sz w:val="28"/>
          <w:szCs w:val="28"/>
        </w:rPr>
        <w:t>日；协议有效期为三年。</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五、交易决策及审议情况</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（一）决策的机构、时间、结论</w:t>
      </w:r>
    </w:p>
    <w:p w:rsidR="00CA2379" w:rsidRPr="009C22EE" w:rsidRDefault="00BD355F">
      <w:pPr>
        <w:spacing w:line="60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我公司第</w:t>
      </w:r>
      <w:r>
        <w:rPr>
          <w:rFonts w:asciiTheme="minorEastAsia" w:eastAsiaTheme="minorEastAsia" w:hAnsiTheme="minorEastAsia" w:hint="eastAsia"/>
          <w:color w:val="000000"/>
          <w:sz w:val="28"/>
          <w:szCs w:val="28"/>
          <w:lang w:eastAsia="zh-CN"/>
        </w:rPr>
        <w:t>十</w:t>
      </w:r>
      <w:r>
        <w:rPr>
          <w:rFonts w:asciiTheme="minorEastAsia" w:eastAsiaTheme="minorEastAsia" w:hAnsiTheme="minorEastAsia" w:hint="eastAsia"/>
          <w:color w:val="000000"/>
          <w:sz w:val="28"/>
          <w:szCs w:val="28"/>
        </w:rPr>
        <w:t>届董事会第十</w:t>
      </w:r>
      <w:r>
        <w:rPr>
          <w:rFonts w:asciiTheme="minorEastAsia" w:eastAsiaTheme="minorEastAsia" w:hAnsiTheme="minorEastAsia" w:hint="eastAsia"/>
          <w:color w:val="000000"/>
          <w:sz w:val="28"/>
          <w:szCs w:val="28"/>
          <w:lang w:eastAsia="zh-CN"/>
        </w:rPr>
        <w:t>五</w:t>
      </w:r>
      <w:r w:rsidR="00CA2379" w:rsidRPr="009C22EE">
        <w:rPr>
          <w:rFonts w:asciiTheme="minorEastAsia" w:eastAsiaTheme="minorEastAsia" w:hAnsiTheme="minorEastAsia" w:hint="eastAsia"/>
          <w:color w:val="000000"/>
          <w:sz w:val="28"/>
          <w:szCs w:val="28"/>
        </w:rPr>
        <w:t>次会议及第十届董事会第十次会议审议通过，董事会授权本公司执行董事在授权额度内对本公司与控股子公司之间重大关联交易进行审批。</w:t>
      </w:r>
      <w:r>
        <w:rPr>
          <w:rFonts w:asciiTheme="minorEastAsia" w:eastAsiaTheme="minorEastAsia" w:hAnsiTheme="minorEastAsia"/>
          <w:color w:val="000000"/>
          <w:sz w:val="28"/>
          <w:szCs w:val="28"/>
        </w:rPr>
        <w:t>201</w:t>
      </w:r>
      <w:r>
        <w:rPr>
          <w:rFonts w:asciiTheme="minorEastAsia" w:eastAsiaTheme="minorEastAsia" w:hAnsiTheme="minorEastAsia" w:hint="eastAsia"/>
          <w:color w:val="000000"/>
          <w:sz w:val="28"/>
          <w:szCs w:val="28"/>
          <w:lang w:eastAsia="zh-CN"/>
        </w:rPr>
        <w:t>8</w:t>
      </w:r>
      <w:r w:rsidR="00CA2379" w:rsidRPr="009C22EE">
        <w:rPr>
          <w:rFonts w:asciiTheme="minorEastAsia" w:eastAsiaTheme="minorEastAsia" w:hAnsiTheme="minorEastAsia"/>
          <w:color w:val="000000"/>
          <w:sz w:val="28"/>
          <w:szCs w:val="28"/>
        </w:rPr>
        <w:t>年</w:t>
      </w:r>
      <w:r>
        <w:rPr>
          <w:rFonts w:asciiTheme="minorEastAsia" w:eastAsiaTheme="minorEastAsia" w:hAnsiTheme="minorEastAsia" w:hint="eastAsia"/>
          <w:color w:val="000000"/>
          <w:sz w:val="28"/>
          <w:szCs w:val="28"/>
          <w:lang w:eastAsia="zh-CN"/>
        </w:rPr>
        <w:t>2</w:t>
      </w:r>
      <w:r w:rsidR="00CA2379" w:rsidRPr="009C22EE">
        <w:rPr>
          <w:rFonts w:asciiTheme="minorEastAsia" w:eastAsiaTheme="minorEastAsia" w:hAnsiTheme="minorEastAsia"/>
          <w:color w:val="000000"/>
          <w:sz w:val="28"/>
          <w:szCs w:val="28"/>
        </w:rPr>
        <w:t>月</w:t>
      </w:r>
      <w:r>
        <w:rPr>
          <w:rFonts w:asciiTheme="minorEastAsia" w:eastAsiaTheme="minorEastAsia" w:hAnsiTheme="minorEastAsia" w:hint="eastAsia"/>
          <w:color w:val="000000"/>
          <w:sz w:val="28"/>
          <w:szCs w:val="28"/>
          <w:lang w:eastAsia="zh-CN"/>
        </w:rPr>
        <w:t>9</w:t>
      </w:r>
      <w:r w:rsidR="00CA2379" w:rsidRPr="009C22EE">
        <w:rPr>
          <w:rFonts w:asciiTheme="minorEastAsia" w:eastAsiaTheme="minorEastAsia" w:hAnsiTheme="minorEastAsia"/>
          <w:color w:val="000000"/>
          <w:sz w:val="28"/>
          <w:szCs w:val="28"/>
        </w:rPr>
        <w:t>日我公司执行董事批准我公司与平安银行签署《统一存款协议》。</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（二）审议的方式和过程</w:t>
      </w:r>
    </w:p>
    <w:p w:rsidR="00CA2379" w:rsidRPr="00FA5AB6" w:rsidRDefault="00FA5AB6" w:rsidP="00FA5AB6">
      <w:pPr>
        <w:spacing w:line="600" w:lineRule="exact"/>
        <w:ind w:firstLineChars="200" w:firstLine="560"/>
        <w:rPr>
          <w:rFonts w:asciiTheme="minorEastAsia" w:eastAsiaTheme="minorEastAsia" w:hAnsiTheme="minorEastAsia"/>
          <w:color w:val="000000"/>
          <w:sz w:val="28"/>
          <w:szCs w:val="28"/>
        </w:rPr>
      </w:pPr>
      <w:r w:rsidRPr="00FA5AB6">
        <w:rPr>
          <w:rFonts w:asciiTheme="minorEastAsia" w:eastAsiaTheme="minorEastAsia" w:hAnsiTheme="minorEastAsia"/>
          <w:color w:val="000000"/>
          <w:sz w:val="28"/>
          <w:szCs w:val="28"/>
        </w:rPr>
        <w:lastRenderedPageBreak/>
        <w:t>本重大关联交易经我公司董事会授权的执行董事审议表决全票通过</w:t>
      </w:r>
      <w:r w:rsidR="00CA2379" w:rsidRPr="00FA5AB6">
        <w:rPr>
          <w:rFonts w:asciiTheme="minorEastAsia" w:eastAsiaTheme="minorEastAsia" w:hAnsiTheme="minorEastAsia"/>
          <w:color w:val="000000"/>
          <w:sz w:val="28"/>
          <w:szCs w:val="28"/>
        </w:rPr>
        <w:t>。</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六、本年度与该关联方已发生的关联交易累计金额</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本年度截至</w:t>
      </w:r>
      <w:r w:rsidR="00BD355F">
        <w:rPr>
          <w:rFonts w:asciiTheme="minorEastAsia" w:eastAsiaTheme="minorEastAsia" w:hAnsiTheme="minorEastAsia" w:hint="eastAsia"/>
          <w:sz w:val="28"/>
          <w:szCs w:val="28"/>
          <w:lang w:eastAsia="zh-CN"/>
        </w:rPr>
        <w:t>1</w:t>
      </w:r>
      <w:r w:rsidR="00BD355F">
        <w:rPr>
          <w:rFonts w:asciiTheme="minorEastAsia" w:eastAsiaTheme="minorEastAsia" w:hAnsiTheme="minorEastAsia"/>
          <w:sz w:val="28"/>
          <w:szCs w:val="28"/>
        </w:rPr>
        <w:t>月底，本公司</w:t>
      </w:r>
      <w:r w:rsidR="00BD355F">
        <w:rPr>
          <w:rFonts w:asciiTheme="minorEastAsia" w:eastAsiaTheme="minorEastAsia" w:hAnsiTheme="minorEastAsia" w:hint="eastAsia"/>
          <w:sz w:val="28"/>
          <w:szCs w:val="28"/>
          <w:lang w:eastAsia="zh-CN"/>
        </w:rPr>
        <w:t>在</w:t>
      </w:r>
      <w:r w:rsidRPr="009C22EE">
        <w:rPr>
          <w:rFonts w:asciiTheme="minorEastAsia" w:eastAsiaTheme="minorEastAsia" w:hAnsiTheme="minorEastAsia"/>
          <w:sz w:val="28"/>
          <w:szCs w:val="28"/>
        </w:rPr>
        <w:t>平安银行的日终存款峰值为</w:t>
      </w:r>
      <w:r w:rsidR="00BD355F">
        <w:rPr>
          <w:rFonts w:asciiTheme="minorEastAsia" w:eastAsiaTheme="minorEastAsia" w:hAnsiTheme="minorEastAsia" w:hint="eastAsia"/>
          <w:sz w:val="28"/>
          <w:szCs w:val="28"/>
          <w:lang w:eastAsia="zh-CN"/>
        </w:rPr>
        <w:t>0</w:t>
      </w:r>
      <w:r w:rsidRPr="009C22EE">
        <w:rPr>
          <w:rFonts w:asciiTheme="minorEastAsia" w:eastAsiaTheme="minorEastAsia" w:hAnsiTheme="minorEastAsia" w:hint="eastAsia"/>
          <w:sz w:val="28"/>
          <w:szCs w:val="28"/>
        </w:rPr>
        <w:t>。</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七、交易目的及对公司本期和未来财务状况及经营成果的影响</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hint="eastAsia"/>
          <w:sz w:val="28"/>
          <w:szCs w:val="28"/>
        </w:rPr>
        <w:t>（一）交易目的</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因开展日常投资需要,本公司在平安银行的存款类交易具有长期、持续性的特点，为确保交易的时效性，本公司与平安银行签署了《统一存款协议》。</w:t>
      </w:r>
    </w:p>
    <w:p w:rsidR="00CA2379" w:rsidRPr="009C22EE" w:rsidRDefault="00CA2379" w:rsidP="009C22EE">
      <w:pPr>
        <w:spacing w:line="600" w:lineRule="exact"/>
        <w:ind w:firstLineChars="200" w:firstLine="560"/>
        <w:rPr>
          <w:rFonts w:asciiTheme="minorEastAsia" w:eastAsiaTheme="minorEastAsia" w:hAnsiTheme="minorEastAsia"/>
          <w:sz w:val="28"/>
          <w:szCs w:val="28"/>
        </w:rPr>
      </w:pPr>
      <w:r w:rsidRPr="009C22EE">
        <w:rPr>
          <w:rFonts w:asciiTheme="minorEastAsia" w:eastAsiaTheme="minorEastAsia" w:hAnsiTheme="minorEastAsia"/>
          <w:sz w:val="28"/>
          <w:szCs w:val="28"/>
        </w:rPr>
        <w:t>（二）交易对财务状况及经营成果的影响</w:t>
      </w:r>
    </w:p>
    <w:p w:rsidR="00CA2379" w:rsidRPr="00CA2379" w:rsidRDefault="00CA2379" w:rsidP="009C22EE">
      <w:pPr>
        <w:ind w:firstLineChars="200" w:firstLine="560"/>
        <w:rPr>
          <w:rFonts w:asciiTheme="minorEastAsia" w:eastAsiaTheme="minorEastAsia" w:hAnsiTheme="minorEastAsia"/>
          <w:sz w:val="28"/>
          <w:szCs w:val="28"/>
          <w:lang w:eastAsia="zh-CN"/>
        </w:rPr>
      </w:pPr>
      <w:r w:rsidRPr="009C22EE">
        <w:rPr>
          <w:rFonts w:asciiTheme="minorEastAsia" w:eastAsiaTheme="minorEastAsia" w:hAnsiTheme="minorEastAsia"/>
          <w:sz w:val="28"/>
          <w:szCs w:val="28"/>
        </w:rPr>
        <w:t>交易对财务状况及经营成果无重大影响。</w:t>
      </w:r>
    </w:p>
    <w:p w:rsidR="009579D0" w:rsidRPr="009C22EE" w:rsidRDefault="00CA2379" w:rsidP="009C22EE">
      <w:pPr>
        <w:ind w:firstLineChars="200" w:firstLine="560"/>
        <w:rPr>
          <w:rFonts w:asciiTheme="minorEastAsia" w:eastAsiaTheme="minorEastAsia" w:hAnsiTheme="minorEastAsia"/>
          <w:sz w:val="28"/>
          <w:szCs w:val="28"/>
          <w:lang w:eastAsia="zh-CN"/>
        </w:rPr>
      </w:pPr>
      <w:r w:rsidRPr="009C22EE">
        <w:rPr>
          <w:rFonts w:asciiTheme="minorEastAsia" w:eastAsiaTheme="minorEastAsia" w:hAnsiTheme="minorEastAsia" w:hint="eastAsia"/>
          <w:sz w:val="28"/>
          <w:szCs w:val="28"/>
          <w:lang w:eastAsia="zh-CN"/>
        </w:rPr>
        <w:t>八</w:t>
      </w:r>
      <w:r w:rsidR="007F1F34" w:rsidRPr="009C22EE">
        <w:rPr>
          <w:rFonts w:asciiTheme="minorEastAsia" w:eastAsiaTheme="minorEastAsia" w:hAnsiTheme="minorEastAsia" w:hint="eastAsia"/>
          <w:sz w:val="28"/>
          <w:szCs w:val="28"/>
          <w:lang w:eastAsia="zh-CN"/>
        </w:rPr>
        <w:t>、</w:t>
      </w:r>
      <w:r w:rsidR="005C7CB3" w:rsidRPr="009C22EE">
        <w:rPr>
          <w:rFonts w:asciiTheme="minorEastAsia" w:eastAsiaTheme="minorEastAsia" w:hAnsiTheme="minorEastAsia" w:hint="eastAsia"/>
          <w:sz w:val="28"/>
          <w:szCs w:val="28"/>
          <w:lang w:eastAsia="zh-CN"/>
        </w:rPr>
        <w:t>其他需要披露的信息</w:t>
      </w:r>
    </w:p>
    <w:p w:rsidR="00B917A8" w:rsidRPr="00CA2379" w:rsidRDefault="00CA2379" w:rsidP="007F1F34">
      <w:pPr>
        <w:rPr>
          <w:rFonts w:asciiTheme="minorEastAsia" w:eastAsiaTheme="minorEastAsia" w:hAnsiTheme="minorEastAsia"/>
          <w:sz w:val="28"/>
          <w:szCs w:val="28"/>
          <w:lang w:eastAsia="zh-CN"/>
        </w:rPr>
      </w:pPr>
      <w:r w:rsidRPr="009C22EE">
        <w:rPr>
          <w:rFonts w:asciiTheme="minorEastAsia" w:eastAsiaTheme="minorEastAsia" w:hAnsiTheme="minorEastAsia"/>
          <w:sz w:val="28"/>
          <w:szCs w:val="28"/>
          <w:lang w:eastAsia="zh-CN"/>
        </w:rPr>
        <w:t xml:space="preserve">   </w:t>
      </w:r>
      <w:r w:rsidR="009C22EE">
        <w:rPr>
          <w:rFonts w:asciiTheme="minorEastAsia" w:eastAsiaTheme="minorEastAsia" w:hAnsiTheme="minorEastAsia" w:hint="eastAsia"/>
          <w:sz w:val="28"/>
          <w:szCs w:val="28"/>
          <w:lang w:eastAsia="zh-CN"/>
        </w:rPr>
        <w:t xml:space="preserve"> 无。</w:t>
      </w:r>
    </w:p>
    <w:p w:rsidR="00844554" w:rsidRPr="00CA2379" w:rsidRDefault="0072464D">
      <w:pPr>
        <w:ind w:firstLineChars="200" w:firstLine="560"/>
        <w:rPr>
          <w:rFonts w:asciiTheme="minorEastAsia" w:eastAsiaTheme="minorEastAsia" w:hAnsiTheme="minorEastAsia"/>
          <w:sz w:val="28"/>
          <w:szCs w:val="28"/>
          <w:lang w:eastAsia="zh-CN"/>
        </w:rPr>
      </w:pPr>
      <w:r w:rsidRPr="00CA2379">
        <w:rPr>
          <w:rFonts w:asciiTheme="minorEastAsia" w:eastAsiaTheme="minorEastAsia" w:hAnsiTheme="minorEastAsia" w:hint="eastAsia"/>
          <w:sz w:val="28"/>
          <w:szCs w:val="28"/>
          <w:lang w:eastAsia="zh-CN"/>
        </w:rPr>
        <w:t>本</w:t>
      </w:r>
      <w:r w:rsidR="009579D0" w:rsidRPr="00CA2379">
        <w:rPr>
          <w:rFonts w:asciiTheme="minorEastAsia" w:eastAsiaTheme="minorEastAsia" w:hAnsiTheme="minorEastAsia" w:hint="eastAsia"/>
          <w:sz w:val="28"/>
          <w:szCs w:val="28"/>
          <w:lang w:eastAsia="zh-CN"/>
        </w:rPr>
        <w:t>公司承诺：已充分知晓开展此项交易的责任和风险，并对本公告所披露信息的真实性、准确性、完整性和合规性负责，愿意接受有关方面监督。对本公告所披露信息如有异议，可以于本公告发布之日起</w:t>
      </w:r>
      <w:r w:rsidR="009579D0" w:rsidRPr="00CA2379">
        <w:rPr>
          <w:rFonts w:asciiTheme="minorEastAsia" w:eastAsiaTheme="minorEastAsia" w:hAnsiTheme="minorEastAsia"/>
          <w:sz w:val="28"/>
          <w:szCs w:val="28"/>
          <w:lang w:eastAsia="zh-CN"/>
        </w:rPr>
        <w:t>10</w:t>
      </w:r>
      <w:r w:rsidR="009579D0" w:rsidRPr="00CA2379">
        <w:rPr>
          <w:rFonts w:asciiTheme="minorEastAsia" w:eastAsiaTheme="minorEastAsia" w:hAnsiTheme="minorEastAsia" w:hint="eastAsia"/>
          <w:sz w:val="28"/>
          <w:szCs w:val="28"/>
          <w:lang w:eastAsia="zh-CN"/>
        </w:rPr>
        <w:t>个工作日内，向中国保监会保险资金运用监管部反映。</w:t>
      </w:r>
    </w:p>
    <w:p w:rsidR="0071709E" w:rsidRPr="00CA2379" w:rsidRDefault="00F83D44">
      <w:pPr>
        <w:ind w:firstLineChars="200" w:firstLine="560"/>
        <w:rPr>
          <w:rFonts w:asciiTheme="minorEastAsia" w:eastAsiaTheme="minorEastAsia" w:hAnsiTheme="minorEastAsia"/>
          <w:sz w:val="28"/>
          <w:szCs w:val="28"/>
          <w:lang w:eastAsia="zh-CN"/>
        </w:rPr>
      </w:pPr>
      <w:r w:rsidRPr="00CA2379">
        <w:rPr>
          <w:rFonts w:asciiTheme="minorEastAsia" w:eastAsiaTheme="minorEastAsia" w:hAnsiTheme="minorEastAsia"/>
          <w:sz w:val="28"/>
          <w:szCs w:val="28"/>
          <w:lang w:eastAsia="zh-CN"/>
        </w:rPr>
        <w:t>特此公告</w:t>
      </w:r>
    </w:p>
    <w:p w:rsidR="0071709E" w:rsidRPr="00CA2379" w:rsidRDefault="0071709E">
      <w:pPr>
        <w:spacing w:line="240" w:lineRule="atLeast"/>
        <w:ind w:firstLineChars="200" w:firstLine="560"/>
        <w:jc w:val="right"/>
        <w:rPr>
          <w:rFonts w:asciiTheme="minorEastAsia" w:eastAsiaTheme="minorEastAsia" w:hAnsiTheme="minorEastAsia"/>
          <w:kern w:val="0"/>
          <w:sz w:val="28"/>
          <w:szCs w:val="28"/>
          <w:lang w:eastAsia="zh-CN"/>
        </w:rPr>
      </w:pPr>
      <w:r w:rsidRPr="00CA2379">
        <w:rPr>
          <w:rFonts w:asciiTheme="minorEastAsia" w:eastAsiaTheme="minorEastAsia" w:hAnsiTheme="minorEastAsia"/>
          <w:kern w:val="0"/>
          <w:sz w:val="28"/>
          <w:szCs w:val="28"/>
          <w:lang w:eastAsia="zh-CN"/>
        </w:rPr>
        <w:t>中国平安保险</w:t>
      </w:r>
      <w:r w:rsidR="00C20E68" w:rsidRPr="00CA2379">
        <w:rPr>
          <w:rFonts w:asciiTheme="minorEastAsia" w:eastAsiaTheme="minorEastAsia" w:hAnsiTheme="minorEastAsia" w:hint="eastAsia"/>
          <w:kern w:val="0"/>
          <w:sz w:val="28"/>
          <w:szCs w:val="28"/>
          <w:lang w:eastAsia="zh-CN"/>
        </w:rPr>
        <w:t>（集团）</w:t>
      </w:r>
      <w:r w:rsidRPr="00CA2379">
        <w:rPr>
          <w:rFonts w:asciiTheme="minorEastAsia" w:eastAsiaTheme="minorEastAsia" w:hAnsiTheme="minorEastAsia"/>
          <w:kern w:val="0"/>
          <w:sz w:val="28"/>
          <w:szCs w:val="28"/>
          <w:lang w:eastAsia="zh-CN"/>
        </w:rPr>
        <w:t>股份有限公司</w:t>
      </w:r>
    </w:p>
    <w:p w:rsidR="00673C7E" w:rsidRPr="00CA2379" w:rsidRDefault="00BC505B">
      <w:pPr>
        <w:spacing w:line="240" w:lineRule="atLeast"/>
        <w:ind w:right="560"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kern w:val="0"/>
          <w:sz w:val="28"/>
          <w:szCs w:val="28"/>
          <w:lang w:eastAsia="zh-CN"/>
        </w:rPr>
        <w:t>201</w:t>
      </w:r>
      <w:r w:rsidR="00BD355F">
        <w:rPr>
          <w:rFonts w:asciiTheme="minorEastAsia" w:eastAsiaTheme="minorEastAsia" w:hAnsiTheme="minorEastAsia" w:hint="eastAsia"/>
          <w:kern w:val="0"/>
          <w:sz w:val="28"/>
          <w:szCs w:val="28"/>
          <w:lang w:eastAsia="zh-CN"/>
        </w:rPr>
        <w:t>8</w:t>
      </w:r>
      <w:r w:rsidR="0071709E" w:rsidRPr="00CA2379">
        <w:rPr>
          <w:rFonts w:asciiTheme="minorEastAsia" w:eastAsiaTheme="minorEastAsia" w:hAnsiTheme="minorEastAsia"/>
          <w:kern w:val="0"/>
          <w:sz w:val="28"/>
          <w:szCs w:val="28"/>
          <w:lang w:eastAsia="zh-CN"/>
        </w:rPr>
        <w:t>年</w:t>
      </w:r>
      <w:r w:rsidR="00BD355F">
        <w:rPr>
          <w:rFonts w:asciiTheme="minorEastAsia" w:eastAsiaTheme="minorEastAsia" w:hAnsiTheme="minorEastAsia" w:hint="eastAsia"/>
          <w:kern w:val="0"/>
          <w:sz w:val="28"/>
          <w:szCs w:val="28"/>
          <w:lang w:eastAsia="zh-CN"/>
        </w:rPr>
        <w:t>2</w:t>
      </w:r>
      <w:r w:rsidR="0071709E" w:rsidRPr="00CA2379">
        <w:rPr>
          <w:rFonts w:asciiTheme="minorEastAsia" w:eastAsiaTheme="minorEastAsia" w:hAnsiTheme="minorEastAsia"/>
          <w:kern w:val="0"/>
          <w:sz w:val="28"/>
          <w:szCs w:val="28"/>
          <w:lang w:eastAsia="zh-CN"/>
        </w:rPr>
        <w:t>月</w:t>
      </w:r>
      <w:r w:rsidR="00BD355F">
        <w:rPr>
          <w:rFonts w:asciiTheme="minorEastAsia" w:eastAsiaTheme="minorEastAsia" w:hAnsiTheme="minorEastAsia" w:hint="eastAsia"/>
          <w:kern w:val="0"/>
          <w:sz w:val="28"/>
          <w:szCs w:val="28"/>
          <w:lang w:eastAsia="zh-CN"/>
        </w:rPr>
        <w:t>9</w:t>
      </w:r>
      <w:r w:rsidR="0071709E" w:rsidRPr="00CA2379">
        <w:rPr>
          <w:rFonts w:asciiTheme="minorEastAsia" w:eastAsiaTheme="minorEastAsia" w:hAnsiTheme="minorEastAsia"/>
          <w:kern w:val="0"/>
          <w:sz w:val="28"/>
          <w:szCs w:val="28"/>
          <w:lang w:eastAsia="zh-CN"/>
        </w:rPr>
        <w:t>日</w:t>
      </w:r>
      <w:bookmarkStart w:id="0" w:name="_GoBack"/>
      <w:bookmarkEnd w:id="0"/>
    </w:p>
    <w:sectPr w:rsidR="00673C7E" w:rsidRPr="00CA2379" w:rsidSect="00673C7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E8F" w:rsidRDefault="00333E8F" w:rsidP="000473B8">
      <w:r>
        <w:separator/>
      </w:r>
    </w:p>
  </w:endnote>
  <w:endnote w:type="continuationSeparator" w:id="0">
    <w:p w:rsidR="00333E8F" w:rsidRDefault="00333E8F" w:rsidP="0004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FZZhunYuan-M02">
    <w:altName w:val="Arial Unicode MS"/>
    <w:panose1 w:val="00000000000000000000"/>
    <w:charset w:val="86"/>
    <w:family w:val="swiss"/>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138229"/>
      <w:docPartObj>
        <w:docPartGallery w:val="Page Numbers (Bottom of Page)"/>
        <w:docPartUnique/>
      </w:docPartObj>
    </w:sdtPr>
    <w:sdtEndPr/>
    <w:sdtContent>
      <w:p w:rsidR="00920450" w:rsidRDefault="005B0A90">
        <w:pPr>
          <w:pStyle w:val="a4"/>
          <w:jc w:val="center"/>
        </w:pPr>
        <w:r>
          <w:fldChar w:fldCharType="begin"/>
        </w:r>
        <w:r w:rsidR="00920450">
          <w:instrText>PAGE   \* MERGEFORMAT</w:instrText>
        </w:r>
        <w:r>
          <w:fldChar w:fldCharType="separate"/>
        </w:r>
        <w:r w:rsidR="00BD355F" w:rsidRPr="00BD355F">
          <w:rPr>
            <w:noProof/>
            <w:lang w:val="zh-CN" w:eastAsia="zh-CN"/>
          </w:rPr>
          <w:t>4</w:t>
        </w:r>
        <w:r>
          <w:fldChar w:fldCharType="end"/>
        </w:r>
      </w:p>
    </w:sdtContent>
  </w:sdt>
  <w:p w:rsidR="00920450" w:rsidRDefault="009204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E8F" w:rsidRDefault="00333E8F" w:rsidP="000473B8">
      <w:r>
        <w:separator/>
      </w:r>
    </w:p>
  </w:footnote>
  <w:footnote w:type="continuationSeparator" w:id="0">
    <w:p w:rsidR="00333E8F" w:rsidRDefault="00333E8F" w:rsidP="00047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35C8A"/>
    <w:multiLevelType w:val="hybridMultilevel"/>
    <w:tmpl w:val="115A25F0"/>
    <w:lvl w:ilvl="0" w:tplc="173A4E24">
      <w:start w:val="1"/>
      <w:numFmt w:val="japaneseCounting"/>
      <w:lvlText w:val="（%1）"/>
      <w:lvlJc w:val="left"/>
      <w:pPr>
        <w:ind w:left="4541" w:hanging="855"/>
      </w:pPr>
      <w:rPr>
        <w:rFonts w:hint="default"/>
      </w:rPr>
    </w:lvl>
    <w:lvl w:ilvl="1" w:tplc="04090019" w:tentative="1">
      <w:start w:val="1"/>
      <w:numFmt w:val="lowerLetter"/>
      <w:lvlText w:val="%2)"/>
      <w:lvlJc w:val="left"/>
      <w:pPr>
        <w:ind w:left="4526" w:hanging="420"/>
      </w:pPr>
    </w:lvl>
    <w:lvl w:ilvl="2" w:tplc="0409001B" w:tentative="1">
      <w:start w:val="1"/>
      <w:numFmt w:val="lowerRoman"/>
      <w:lvlText w:val="%3."/>
      <w:lvlJc w:val="right"/>
      <w:pPr>
        <w:ind w:left="4946" w:hanging="420"/>
      </w:pPr>
    </w:lvl>
    <w:lvl w:ilvl="3" w:tplc="0409000F" w:tentative="1">
      <w:start w:val="1"/>
      <w:numFmt w:val="decimal"/>
      <w:lvlText w:val="%4."/>
      <w:lvlJc w:val="left"/>
      <w:pPr>
        <w:ind w:left="5366" w:hanging="420"/>
      </w:pPr>
    </w:lvl>
    <w:lvl w:ilvl="4" w:tplc="04090019" w:tentative="1">
      <w:start w:val="1"/>
      <w:numFmt w:val="lowerLetter"/>
      <w:lvlText w:val="%5)"/>
      <w:lvlJc w:val="left"/>
      <w:pPr>
        <w:ind w:left="5786" w:hanging="420"/>
      </w:pPr>
    </w:lvl>
    <w:lvl w:ilvl="5" w:tplc="0409001B" w:tentative="1">
      <w:start w:val="1"/>
      <w:numFmt w:val="lowerRoman"/>
      <w:lvlText w:val="%6."/>
      <w:lvlJc w:val="right"/>
      <w:pPr>
        <w:ind w:left="6206" w:hanging="420"/>
      </w:pPr>
    </w:lvl>
    <w:lvl w:ilvl="6" w:tplc="0409000F" w:tentative="1">
      <w:start w:val="1"/>
      <w:numFmt w:val="decimal"/>
      <w:lvlText w:val="%7."/>
      <w:lvlJc w:val="left"/>
      <w:pPr>
        <w:ind w:left="6626" w:hanging="420"/>
      </w:pPr>
    </w:lvl>
    <w:lvl w:ilvl="7" w:tplc="04090019" w:tentative="1">
      <w:start w:val="1"/>
      <w:numFmt w:val="lowerLetter"/>
      <w:lvlText w:val="%8)"/>
      <w:lvlJc w:val="left"/>
      <w:pPr>
        <w:ind w:left="7046" w:hanging="420"/>
      </w:pPr>
    </w:lvl>
    <w:lvl w:ilvl="8" w:tplc="0409001B" w:tentative="1">
      <w:start w:val="1"/>
      <w:numFmt w:val="lowerRoman"/>
      <w:lvlText w:val="%9."/>
      <w:lvlJc w:val="right"/>
      <w:pPr>
        <w:ind w:left="7466" w:hanging="420"/>
      </w:pPr>
    </w:lvl>
  </w:abstractNum>
  <w:abstractNum w:abstractNumId="1">
    <w:nsid w:val="2C5F0736"/>
    <w:multiLevelType w:val="hybridMultilevel"/>
    <w:tmpl w:val="9BB4EB16"/>
    <w:lvl w:ilvl="0" w:tplc="697641D2">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43F0234"/>
    <w:multiLevelType w:val="hybridMultilevel"/>
    <w:tmpl w:val="A380EF9E"/>
    <w:lvl w:ilvl="0" w:tplc="C5606B7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86963E0"/>
    <w:multiLevelType w:val="hybridMultilevel"/>
    <w:tmpl w:val="944A8108"/>
    <w:lvl w:ilvl="0" w:tplc="B192B47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511E3D23"/>
    <w:multiLevelType w:val="hybridMultilevel"/>
    <w:tmpl w:val="51386B94"/>
    <w:lvl w:ilvl="0" w:tplc="0B66985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ED842FD"/>
    <w:multiLevelType w:val="hybridMultilevel"/>
    <w:tmpl w:val="24288F92"/>
    <w:lvl w:ilvl="0" w:tplc="B18AA06E">
      <w:start w:val="1"/>
      <w:numFmt w:val="japaneseCounting"/>
      <w:lvlText w:val="（%1）"/>
      <w:lvlJc w:val="left"/>
      <w:pPr>
        <w:ind w:left="1920" w:hanging="7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6">
    <w:nsid w:val="6E340438"/>
    <w:multiLevelType w:val="hybridMultilevel"/>
    <w:tmpl w:val="E9A06452"/>
    <w:lvl w:ilvl="0" w:tplc="3FB2DA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9E"/>
    <w:rsid w:val="0000226E"/>
    <w:rsid w:val="000048D4"/>
    <w:rsid w:val="000148F2"/>
    <w:rsid w:val="0001641C"/>
    <w:rsid w:val="0002644C"/>
    <w:rsid w:val="000473B8"/>
    <w:rsid w:val="00064BBB"/>
    <w:rsid w:val="0006553E"/>
    <w:rsid w:val="00065F7C"/>
    <w:rsid w:val="0007523C"/>
    <w:rsid w:val="00081922"/>
    <w:rsid w:val="000847E3"/>
    <w:rsid w:val="00094FD6"/>
    <w:rsid w:val="000A7B65"/>
    <w:rsid w:val="000B00E4"/>
    <w:rsid w:val="000B03D4"/>
    <w:rsid w:val="000B15D1"/>
    <w:rsid w:val="000B3EDB"/>
    <w:rsid w:val="000B4319"/>
    <w:rsid w:val="000B4DCE"/>
    <w:rsid w:val="000C28C7"/>
    <w:rsid w:val="000C6983"/>
    <w:rsid w:val="000D5081"/>
    <w:rsid w:val="000E1B03"/>
    <w:rsid w:val="000E3E5A"/>
    <w:rsid w:val="000F05DA"/>
    <w:rsid w:val="000F5A95"/>
    <w:rsid w:val="001167EB"/>
    <w:rsid w:val="00121302"/>
    <w:rsid w:val="00123A26"/>
    <w:rsid w:val="001268AE"/>
    <w:rsid w:val="00141C4A"/>
    <w:rsid w:val="00142A5A"/>
    <w:rsid w:val="0014685A"/>
    <w:rsid w:val="001548E5"/>
    <w:rsid w:val="001565A0"/>
    <w:rsid w:val="00164AA0"/>
    <w:rsid w:val="00173CDF"/>
    <w:rsid w:val="00182CC8"/>
    <w:rsid w:val="00191739"/>
    <w:rsid w:val="001A4F86"/>
    <w:rsid w:val="001B092C"/>
    <w:rsid w:val="001B4072"/>
    <w:rsid w:val="001B4757"/>
    <w:rsid w:val="001B702C"/>
    <w:rsid w:val="001C0A11"/>
    <w:rsid w:val="001D6211"/>
    <w:rsid w:val="001D7911"/>
    <w:rsid w:val="001D7DE7"/>
    <w:rsid w:val="00203419"/>
    <w:rsid w:val="00203A09"/>
    <w:rsid w:val="00207E06"/>
    <w:rsid w:val="00212450"/>
    <w:rsid w:val="00216028"/>
    <w:rsid w:val="00226575"/>
    <w:rsid w:val="00230679"/>
    <w:rsid w:val="00230BA1"/>
    <w:rsid w:val="002502D8"/>
    <w:rsid w:val="00251D6D"/>
    <w:rsid w:val="00255D09"/>
    <w:rsid w:val="002567C4"/>
    <w:rsid w:val="002643CC"/>
    <w:rsid w:val="00265823"/>
    <w:rsid w:val="00265C2D"/>
    <w:rsid w:val="002662B3"/>
    <w:rsid w:val="002714DA"/>
    <w:rsid w:val="00272B38"/>
    <w:rsid w:val="002755E0"/>
    <w:rsid w:val="00277CA9"/>
    <w:rsid w:val="00286CE1"/>
    <w:rsid w:val="002877BA"/>
    <w:rsid w:val="00290A5C"/>
    <w:rsid w:val="00295792"/>
    <w:rsid w:val="002957EB"/>
    <w:rsid w:val="002A252E"/>
    <w:rsid w:val="002C2512"/>
    <w:rsid w:val="002C30C9"/>
    <w:rsid w:val="002D3D81"/>
    <w:rsid w:val="002D3E16"/>
    <w:rsid w:val="002D5264"/>
    <w:rsid w:val="002D6B73"/>
    <w:rsid w:val="002E0C63"/>
    <w:rsid w:val="002E47E5"/>
    <w:rsid w:val="002F2E5D"/>
    <w:rsid w:val="003000DB"/>
    <w:rsid w:val="003028EF"/>
    <w:rsid w:val="0031570F"/>
    <w:rsid w:val="003231A8"/>
    <w:rsid w:val="00324A03"/>
    <w:rsid w:val="0032579C"/>
    <w:rsid w:val="003275D9"/>
    <w:rsid w:val="00332F24"/>
    <w:rsid w:val="0033379E"/>
    <w:rsid w:val="00333E8F"/>
    <w:rsid w:val="00351D35"/>
    <w:rsid w:val="00353E51"/>
    <w:rsid w:val="003660A3"/>
    <w:rsid w:val="00373A6D"/>
    <w:rsid w:val="0038558B"/>
    <w:rsid w:val="003970EC"/>
    <w:rsid w:val="0039763B"/>
    <w:rsid w:val="003A27F9"/>
    <w:rsid w:val="003A5F70"/>
    <w:rsid w:val="003B11F7"/>
    <w:rsid w:val="003B3968"/>
    <w:rsid w:val="003C2215"/>
    <w:rsid w:val="003D0341"/>
    <w:rsid w:val="003E2E90"/>
    <w:rsid w:val="003E2F34"/>
    <w:rsid w:val="003F429C"/>
    <w:rsid w:val="00400AC3"/>
    <w:rsid w:val="00407D66"/>
    <w:rsid w:val="00415730"/>
    <w:rsid w:val="004212A0"/>
    <w:rsid w:val="00422A47"/>
    <w:rsid w:val="00423F32"/>
    <w:rsid w:val="00425695"/>
    <w:rsid w:val="0043329C"/>
    <w:rsid w:val="00436771"/>
    <w:rsid w:val="0043783B"/>
    <w:rsid w:val="00440F42"/>
    <w:rsid w:val="0044169D"/>
    <w:rsid w:val="00443484"/>
    <w:rsid w:val="00445EE7"/>
    <w:rsid w:val="00452A00"/>
    <w:rsid w:val="00452F94"/>
    <w:rsid w:val="00453939"/>
    <w:rsid w:val="00454BB2"/>
    <w:rsid w:val="00457383"/>
    <w:rsid w:val="00461CD5"/>
    <w:rsid w:val="00467788"/>
    <w:rsid w:val="0047380E"/>
    <w:rsid w:val="00475E11"/>
    <w:rsid w:val="004859CF"/>
    <w:rsid w:val="004A37C3"/>
    <w:rsid w:val="004B048B"/>
    <w:rsid w:val="004B53EB"/>
    <w:rsid w:val="004C470E"/>
    <w:rsid w:val="004D3241"/>
    <w:rsid w:val="004D558D"/>
    <w:rsid w:val="004D5D0A"/>
    <w:rsid w:val="004D71BB"/>
    <w:rsid w:val="004E4206"/>
    <w:rsid w:val="004E7E55"/>
    <w:rsid w:val="00502E10"/>
    <w:rsid w:val="005060A8"/>
    <w:rsid w:val="00511D1C"/>
    <w:rsid w:val="00514A7E"/>
    <w:rsid w:val="0053340F"/>
    <w:rsid w:val="0054393E"/>
    <w:rsid w:val="0055373D"/>
    <w:rsid w:val="00553B45"/>
    <w:rsid w:val="005552D3"/>
    <w:rsid w:val="005754E2"/>
    <w:rsid w:val="00575CE8"/>
    <w:rsid w:val="005825DD"/>
    <w:rsid w:val="0058470E"/>
    <w:rsid w:val="00597360"/>
    <w:rsid w:val="005A2D88"/>
    <w:rsid w:val="005B0A90"/>
    <w:rsid w:val="005B197F"/>
    <w:rsid w:val="005C0970"/>
    <w:rsid w:val="005C20CD"/>
    <w:rsid w:val="005C7CB3"/>
    <w:rsid w:val="005D53D7"/>
    <w:rsid w:val="005E486E"/>
    <w:rsid w:val="005F2189"/>
    <w:rsid w:val="005F50D9"/>
    <w:rsid w:val="005F56B7"/>
    <w:rsid w:val="00612736"/>
    <w:rsid w:val="00613B56"/>
    <w:rsid w:val="00625C19"/>
    <w:rsid w:val="00625DC4"/>
    <w:rsid w:val="00646273"/>
    <w:rsid w:val="0064731F"/>
    <w:rsid w:val="00656994"/>
    <w:rsid w:val="00664A16"/>
    <w:rsid w:val="00673C7E"/>
    <w:rsid w:val="00673DDF"/>
    <w:rsid w:val="006800CC"/>
    <w:rsid w:val="006827C9"/>
    <w:rsid w:val="00683AA5"/>
    <w:rsid w:val="006951C2"/>
    <w:rsid w:val="0069654F"/>
    <w:rsid w:val="0069778D"/>
    <w:rsid w:val="006A3C27"/>
    <w:rsid w:val="006A426E"/>
    <w:rsid w:val="006A71F9"/>
    <w:rsid w:val="006B29DA"/>
    <w:rsid w:val="006D7F71"/>
    <w:rsid w:val="006E2EB2"/>
    <w:rsid w:val="006E3213"/>
    <w:rsid w:val="006E6AC9"/>
    <w:rsid w:val="00705FE3"/>
    <w:rsid w:val="0071709E"/>
    <w:rsid w:val="00717C62"/>
    <w:rsid w:val="007227C6"/>
    <w:rsid w:val="0072464D"/>
    <w:rsid w:val="007259D5"/>
    <w:rsid w:val="00725F7D"/>
    <w:rsid w:val="007309F3"/>
    <w:rsid w:val="007378A6"/>
    <w:rsid w:val="00745D8E"/>
    <w:rsid w:val="00752A54"/>
    <w:rsid w:val="00752BDD"/>
    <w:rsid w:val="00754077"/>
    <w:rsid w:val="00754BFE"/>
    <w:rsid w:val="00763C28"/>
    <w:rsid w:val="007651BA"/>
    <w:rsid w:val="00765A46"/>
    <w:rsid w:val="00765D12"/>
    <w:rsid w:val="007746FD"/>
    <w:rsid w:val="00774BA3"/>
    <w:rsid w:val="007809C2"/>
    <w:rsid w:val="0078184F"/>
    <w:rsid w:val="0078534E"/>
    <w:rsid w:val="00790580"/>
    <w:rsid w:val="00791B5F"/>
    <w:rsid w:val="00791DC8"/>
    <w:rsid w:val="00794075"/>
    <w:rsid w:val="00795E74"/>
    <w:rsid w:val="007A6454"/>
    <w:rsid w:val="007B2BF1"/>
    <w:rsid w:val="007B3D0B"/>
    <w:rsid w:val="007C6632"/>
    <w:rsid w:val="007C79AB"/>
    <w:rsid w:val="007D3DC0"/>
    <w:rsid w:val="007D47FD"/>
    <w:rsid w:val="007D4B05"/>
    <w:rsid w:val="007E27D1"/>
    <w:rsid w:val="007F05F1"/>
    <w:rsid w:val="007F1F34"/>
    <w:rsid w:val="008005CE"/>
    <w:rsid w:val="00804C92"/>
    <w:rsid w:val="00804E49"/>
    <w:rsid w:val="0080577D"/>
    <w:rsid w:val="00842ED9"/>
    <w:rsid w:val="00844554"/>
    <w:rsid w:val="00846EB1"/>
    <w:rsid w:val="00847DAF"/>
    <w:rsid w:val="00852252"/>
    <w:rsid w:val="008571AD"/>
    <w:rsid w:val="0087052A"/>
    <w:rsid w:val="0087218F"/>
    <w:rsid w:val="00883FCD"/>
    <w:rsid w:val="00884BCD"/>
    <w:rsid w:val="0089094C"/>
    <w:rsid w:val="008916DD"/>
    <w:rsid w:val="008A50FB"/>
    <w:rsid w:val="008A57A6"/>
    <w:rsid w:val="008A6E18"/>
    <w:rsid w:val="008B090D"/>
    <w:rsid w:val="008B771B"/>
    <w:rsid w:val="008B7EB8"/>
    <w:rsid w:val="008D069A"/>
    <w:rsid w:val="008D521B"/>
    <w:rsid w:val="008D6EA4"/>
    <w:rsid w:val="008E308E"/>
    <w:rsid w:val="008F386E"/>
    <w:rsid w:val="008F6AD3"/>
    <w:rsid w:val="00906E7A"/>
    <w:rsid w:val="009072D6"/>
    <w:rsid w:val="009107AD"/>
    <w:rsid w:val="00912604"/>
    <w:rsid w:val="00920450"/>
    <w:rsid w:val="0092634A"/>
    <w:rsid w:val="00926858"/>
    <w:rsid w:val="00935B79"/>
    <w:rsid w:val="00950AE7"/>
    <w:rsid w:val="009525DB"/>
    <w:rsid w:val="00954ED7"/>
    <w:rsid w:val="009579D0"/>
    <w:rsid w:val="009679CA"/>
    <w:rsid w:val="00990D20"/>
    <w:rsid w:val="009A064F"/>
    <w:rsid w:val="009A6D7D"/>
    <w:rsid w:val="009B3CC1"/>
    <w:rsid w:val="009C05E5"/>
    <w:rsid w:val="009C139A"/>
    <w:rsid w:val="009C2239"/>
    <w:rsid w:val="009C22EE"/>
    <w:rsid w:val="009C39F7"/>
    <w:rsid w:val="009C4FD5"/>
    <w:rsid w:val="009D2D38"/>
    <w:rsid w:val="009E2EDC"/>
    <w:rsid w:val="009E7088"/>
    <w:rsid w:val="009F6C2A"/>
    <w:rsid w:val="00A0345A"/>
    <w:rsid w:val="00A0450C"/>
    <w:rsid w:val="00A20E0C"/>
    <w:rsid w:val="00A26728"/>
    <w:rsid w:val="00A3574C"/>
    <w:rsid w:val="00A42B34"/>
    <w:rsid w:val="00A44840"/>
    <w:rsid w:val="00A46918"/>
    <w:rsid w:val="00A535BB"/>
    <w:rsid w:val="00A647C2"/>
    <w:rsid w:val="00A73CE3"/>
    <w:rsid w:val="00A803C9"/>
    <w:rsid w:val="00A80B3B"/>
    <w:rsid w:val="00A97819"/>
    <w:rsid w:val="00AB1F31"/>
    <w:rsid w:val="00AB512B"/>
    <w:rsid w:val="00AB5B15"/>
    <w:rsid w:val="00AD5B35"/>
    <w:rsid w:val="00AE1ED4"/>
    <w:rsid w:val="00AE394C"/>
    <w:rsid w:val="00AE6AF2"/>
    <w:rsid w:val="00AF4914"/>
    <w:rsid w:val="00B0310C"/>
    <w:rsid w:val="00B20106"/>
    <w:rsid w:val="00B2440B"/>
    <w:rsid w:val="00B259B3"/>
    <w:rsid w:val="00B3168B"/>
    <w:rsid w:val="00B3578F"/>
    <w:rsid w:val="00B362AC"/>
    <w:rsid w:val="00B453AD"/>
    <w:rsid w:val="00B533FE"/>
    <w:rsid w:val="00B5540F"/>
    <w:rsid w:val="00B572CE"/>
    <w:rsid w:val="00B57CC5"/>
    <w:rsid w:val="00B60C84"/>
    <w:rsid w:val="00B6544A"/>
    <w:rsid w:val="00B804DA"/>
    <w:rsid w:val="00B83AE8"/>
    <w:rsid w:val="00B90FEB"/>
    <w:rsid w:val="00B917A8"/>
    <w:rsid w:val="00BA2F5D"/>
    <w:rsid w:val="00BA50B2"/>
    <w:rsid w:val="00BA537C"/>
    <w:rsid w:val="00BB4920"/>
    <w:rsid w:val="00BC505B"/>
    <w:rsid w:val="00BC6C6D"/>
    <w:rsid w:val="00BC7A7C"/>
    <w:rsid w:val="00BD355F"/>
    <w:rsid w:val="00BD3810"/>
    <w:rsid w:val="00BE759D"/>
    <w:rsid w:val="00BF2DF0"/>
    <w:rsid w:val="00C01310"/>
    <w:rsid w:val="00C01657"/>
    <w:rsid w:val="00C0372D"/>
    <w:rsid w:val="00C0406A"/>
    <w:rsid w:val="00C05119"/>
    <w:rsid w:val="00C10A26"/>
    <w:rsid w:val="00C153D4"/>
    <w:rsid w:val="00C16162"/>
    <w:rsid w:val="00C16380"/>
    <w:rsid w:val="00C17051"/>
    <w:rsid w:val="00C20E68"/>
    <w:rsid w:val="00C22686"/>
    <w:rsid w:val="00C311B0"/>
    <w:rsid w:val="00C34A14"/>
    <w:rsid w:val="00C46ED5"/>
    <w:rsid w:val="00C5020B"/>
    <w:rsid w:val="00C528D6"/>
    <w:rsid w:val="00C576D2"/>
    <w:rsid w:val="00C60A1F"/>
    <w:rsid w:val="00C65441"/>
    <w:rsid w:val="00C7170C"/>
    <w:rsid w:val="00C74710"/>
    <w:rsid w:val="00C75512"/>
    <w:rsid w:val="00C77B59"/>
    <w:rsid w:val="00C86122"/>
    <w:rsid w:val="00C86182"/>
    <w:rsid w:val="00C94C8B"/>
    <w:rsid w:val="00CA1054"/>
    <w:rsid w:val="00CA2379"/>
    <w:rsid w:val="00CA7708"/>
    <w:rsid w:val="00CB3249"/>
    <w:rsid w:val="00CB7A50"/>
    <w:rsid w:val="00CD4DEF"/>
    <w:rsid w:val="00CD5965"/>
    <w:rsid w:val="00CD614F"/>
    <w:rsid w:val="00CD66E2"/>
    <w:rsid w:val="00CE0400"/>
    <w:rsid w:val="00CE042B"/>
    <w:rsid w:val="00CE3993"/>
    <w:rsid w:val="00CF4040"/>
    <w:rsid w:val="00CF6A13"/>
    <w:rsid w:val="00D06694"/>
    <w:rsid w:val="00D07A11"/>
    <w:rsid w:val="00D07E9B"/>
    <w:rsid w:val="00D2231E"/>
    <w:rsid w:val="00D23CDE"/>
    <w:rsid w:val="00D24459"/>
    <w:rsid w:val="00D265C4"/>
    <w:rsid w:val="00D26D10"/>
    <w:rsid w:val="00D32E00"/>
    <w:rsid w:val="00D413BA"/>
    <w:rsid w:val="00D41D6A"/>
    <w:rsid w:val="00D429FA"/>
    <w:rsid w:val="00D42AF9"/>
    <w:rsid w:val="00D4447A"/>
    <w:rsid w:val="00D45173"/>
    <w:rsid w:val="00D64F61"/>
    <w:rsid w:val="00D65DFD"/>
    <w:rsid w:val="00D67FCE"/>
    <w:rsid w:val="00D808EE"/>
    <w:rsid w:val="00D80F5C"/>
    <w:rsid w:val="00D83AE6"/>
    <w:rsid w:val="00D86FF2"/>
    <w:rsid w:val="00DA15F6"/>
    <w:rsid w:val="00DA42AA"/>
    <w:rsid w:val="00DA4586"/>
    <w:rsid w:val="00DA5807"/>
    <w:rsid w:val="00DB1226"/>
    <w:rsid w:val="00DB14A7"/>
    <w:rsid w:val="00DB31C5"/>
    <w:rsid w:val="00DB39CF"/>
    <w:rsid w:val="00DB5B9C"/>
    <w:rsid w:val="00DC09C4"/>
    <w:rsid w:val="00DC1F8C"/>
    <w:rsid w:val="00DC58BC"/>
    <w:rsid w:val="00DC6119"/>
    <w:rsid w:val="00DD0C43"/>
    <w:rsid w:val="00DD6C1A"/>
    <w:rsid w:val="00DE5D14"/>
    <w:rsid w:val="00DF5AEF"/>
    <w:rsid w:val="00E04879"/>
    <w:rsid w:val="00E1262D"/>
    <w:rsid w:val="00E13C0B"/>
    <w:rsid w:val="00E16915"/>
    <w:rsid w:val="00E16FBD"/>
    <w:rsid w:val="00E200ED"/>
    <w:rsid w:val="00E44577"/>
    <w:rsid w:val="00E543A5"/>
    <w:rsid w:val="00E6169C"/>
    <w:rsid w:val="00E63859"/>
    <w:rsid w:val="00E63962"/>
    <w:rsid w:val="00E6558F"/>
    <w:rsid w:val="00E676C7"/>
    <w:rsid w:val="00E7088A"/>
    <w:rsid w:val="00E820A4"/>
    <w:rsid w:val="00E835B2"/>
    <w:rsid w:val="00E87483"/>
    <w:rsid w:val="00E8765A"/>
    <w:rsid w:val="00E97C68"/>
    <w:rsid w:val="00E97D17"/>
    <w:rsid w:val="00EA2A6F"/>
    <w:rsid w:val="00EA5B8D"/>
    <w:rsid w:val="00EB5429"/>
    <w:rsid w:val="00EB7C45"/>
    <w:rsid w:val="00EC2308"/>
    <w:rsid w:val="00EC37A7"/>
    <w:rsid w:val="00EC6D47"/>
    <w:rsid w:val="00ED3B38"/>
    <w:rsid w:val="00EE359C"/>
    <w:rsid w:val="00EE4DC6"/>
    <w:rsid w:val="00EF1969"/>
    <w:rsid w:val="00EF1E3B"/>
    <w:rsid w:val="00EF3B6C"/>
    <w:rsid w:val="00EF5C6B"/>
    <w:rsid w:val="00F115E8"/>
    <w:rsid w:val="00F11AF6"/>
    <w:rsid w:val="00F13190"/>
    <w:rsid w:val="00F1569F"/>
    <w:rsid w:val="00F16226"/>
    <w:rsid w:val="00F205E3"/>
    <w:rsid w:val="00F230F9"/>
    <w:rsid w:val="00F33C31"/>
    <w:rsid w:val="00F35083"/>
    <w:rsid w:val="00F3595B"/>
    <w:rsid w:val="00F47307"/>
    <w:rsid w:val="00F56B38"/>
    <w:rsid w:val="00F61CC2"/>
    <w:rsid w:val="00F712B2"/>
    <w:rsid w:val="00F77EDA"/>
    <w:rsid w:val="00F80EB6"/>
    <w:rsid w:val="00F8229F"/>
    <w:rsid w:val="00F83D44"/>
    <w:rsid w:val="00F921E7"/>
    <w:rsid w:val="00F9395F"/>
    <w:rsid w:val="00FA5AB6"/>
    <w:rsid w:val="00FA5F7B"/>
    <w:rsid w:val="00FB006D"/>
    <w:rsid w:val="00FB2D5A"/>
    <w:rsid w:val="00FB44C1"/>
    <w:rsid w:val="00FB5AB6"/>
    <w:rsid w:val="00FC09E7"/>
    <w:rsid w:val="00FD0AFD"/>
    <w:rsid w:val="00FD6AB1"/>
    <w:rsid w:val="00FE38F6"/>
    <w:rsid w:val="00FF1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09E"/>
    <w:pPr>
      <w:widowControl w:val="0"/>
    </w:pPr>
    <w:rPr>
      <w:rFonts w:ascii="Calibri" w:eastAsia="PMingLiU" w:hAnsi="Calibri" w:cs="Times New Roman"/>
      <w:sz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73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73B8"/>
    <w:rPr>
      <w:rFonts w:ascii="Calibri" w:eastAsia="PMingLiU" w:hAnsi="Calibri" w:cs="Times New Roman"/>
      <w:sz w:val="18"/>
      <w:szCs w:val="18"/>
      <w:lang w:eastAsia="zh-TW"/>
    </w:rPr>
  </w:style>
  <w:style w:type="paragraph" w:styleId="a4">
    <w:name w:val="footer"/>
    <w:basedOn w:val="a"/>
    <w:link w:val="Char0"/>
    <w:uiPriority w:val="99"/>
    <w:unhideWhenUsed/>
    <w:rsid w:val="000473B8"/>
    <w:pPr>
      <w:tabs>
        <w:tab w:val="center" w:pos="4153"/>
        <w:tab w:val="right" w:pos="8306"/>
      </w:tabs>
      <w:snapToGrid w:val="0"/>
    </w:pPr>
    <w:rPr>
      <w:sz w:val="18"/>
      <w:szCs w:val="18"/>
    </w:rPr>
  </w:style>
  <w:style w:type="character" w:customStyle="1" w:styleId="Char0">
    <w:name w:val="页脚 Char"/>
    <w:basedOn w:val="a0"/>
    <w:link w:val="a4"/>
    <w:uiPriority w:val="99"/>
    <w:rsid w:val="000473B8"/>
    <w:rPr>
      <w:rFonts w:ascii="Calibri" w:eastAsia="PMingLiU" w:hAnsi="Calibri" w:cs="Times New Roman"/>
      <w:sz w:val="18"/>
      <w:szCs w:val="18"/>
      <w:lang w:eastAsia="zh-TW"/>
    </w:rPr>
  </w:style>
  <w:style w:type="paragraph" w:styleId="a5">
    <w:name w:val="Balloon Text"/>
    <w:basedOn w:val="a"/>
    <w:link w:val="Char1"/>
    <w:uiPriority w:val="99"/>
    <w:semiHidden/>
    <w:unhideWhenUsed/>
    <w:rsid w:val="005754E2"/>
    <w:rPr>
      <w:sz w:val="18"/>
      <w:szCs w:val="18"/>
    </w:rPr>
  </w:style>
  <w:style w:type="character" w:customStyle="1" w:styleId="Char1">
    <w:name w:val="批注框文本 Char"/>
    <w:basedOn w:val="a0"/>
    <w:link w:val="a5"/>
    <w:uiPriority w:val="99"/>
    <w:semiHidden/>
    <w:rsid w:val="005754E2"/>
    <w:rPr>
      <w:rFonts w:ascii="Calibri" w:eastAsia="PMingLiU" w:hAnsi="Calibri" w:cs="Times New Roman"/>
      <w:sz w:val="18"/>
      <w:szCs w:val="18"/>
      <w:lang w:eastAsia="zh-TW"/>
    </w:rPr>
  </w:style>
  <w:style w:type="paragraph" w:styleId="a6">
    <w:name w:val="List Paragraph"/>
    <w:basedOn w:val="a"/>
    <w:uiPriority w:val="34"/>
    <w:qFormat/>
    <w:rsid w:val="0044169D"/>
    <w:pPr>
      <w:ind w:firstLineChars="200" w:firstLine="420"/>
    </w:pPr>
  </w:style>
  <w:style w:type="paragraph" w:customStyle="1" w:styleId="Default">
    <w:name w:val="Default"/>
    <w:rsid w:val="00ED3B38"/>
    <w:pPr>
      <w:widowControl w:val="0"/>
      <w:autoSpaceDE w:val="0"/>
      <w:autoSpaceDN w:val="0"/>
      <w:adjustRightInd w:val="0"/>
    </w:pPr>
    <w:rPr>
      <w:rFonts w:ascii="FZZhunYuan-M02" w:eastAsia="FZZhunYuan-M02" w:cs="FZZhunYuan-M0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09E"/>
    <w:pPr>
      <w:widowControl w:val="0"/>
    </w:pPr>
    <w:rPr>
      <w:rFonts w:ascii="Calibri" w:eastAsia="PMingLiU" w:hAnsi="Calibri" w:cs="Times New Roman"/>
      <w:sz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73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73B8"/>
    <w:rPr>
      <w:rFonts w:ascii="Calibri" w:eastAsia="PMingLiU" w:hAnsi="Calibri" w:cs="Times New Roman"/>
      <w:sz w:val="18"/>
      <w:szCs w:val="18"/>
      <w:lang w:eastAsia="zh-TW"/>
    </w:rPr>
  </w:style>
  <w:style w:type="paragraph" w:styleId="a4">
    <w:name w:val="footer"/>
    <w:basedOn w:val="a"/>
    <w:link w:val="Char0"/>
    <w:uiPriority w:val="99"/>
    <w:unhideWhenUsed/>
    <w:rsid w:val="000473B8"/>
    <w:pPr>
      <w:tabs>
        <w:tab w:val="center" w:pos="4153"/>
        <w:tab w:val="right" w:pos="8306"/>
      </w:tabs>
      <w:snapToGrid w:val="0"/>
    </w:pPr>
    <w:rPr>
      <w:sz w:val="18"/>
      <w:szCs w:val="18"/>
    </w:rPr>
  </w:style>
  <w:style w:type="character" w:customStyle="1" w:styleId="Char0">
    <w:name w:val="页脚 Char"/>
    <w:basedOn w:val="a0"/>
    <w:link w:val="a4"/>
    <w:uiPriority w:val="99"/>
    <w:rsid w:val="000473B8"/>
    <w:rPr>
      <w:rFonts w:ascii="Calibri" w:eastAsia="PMingLiU" w:hAnsi="Calibri" w:cs="Times New Roman"/>
      <w:sz w:val="18"/>
      <w:szCs w:val="18"/>
      <w:lang w:eastAsia="zh-TW"/>
    </w:rPr>
  </w:style>
  <w:style w:type="paragraph" w:styleId="a5">
    <w:name w:val="Balloon Text"/>
    <w:basedOn w:val="a"/>
    <w:link w:val="Char1"/>
    <w:uiPriority w:val="99"/>
    <w:semiHidden/>
    <w:unhideWhenUsed/>
    <w:rsid w:val="005754E2"/>
    <w:rPr>
      <w:sz w:val="18"/>
      <w:szCs w:val="18"/>
    </w:rPr>
  </w:style>
  <w:style w:type="character" w:customStyle="1" w:styleId="Char1">
    <w:name w:val="批注框文本 Char"/>
    <w:basedOn w:val="a0"/>
    <w:link w:val="a5"/>
    <w:uiPriority w:val="99"/>
    <w:semiHidden/>
    <w:rsid w:val="005754E2"/>
    <w:rPr>
      <w:rFonts w:ascii="Calibri" w:eastAsia="PMingLiU" w:hAnsi="Calibri" w:cs="Times New Roman"/>
      <w:sz w:val="18"/>
      <w:szCs w:val="18"/>
      <w:lang w:eastAsia="zh-TW"/>
    </w:rPr>
  </w:style>
  <w:style w:type="paragraph" w:styleId="a6">
    <w:name w:val="List Paragraph"/>
    <w:basedOn w:val="a"/>
    <w:uiPriority w:val="34"/>
    <w:qFormat/>
    <w:rsid w:val="0044169D"/>
    <w:pPr>
      <w:ind w:firstLineChars="200" w:firstLine="420"/>
    </w:pPr>
  </w:style>
  <w:style w:type="paragraph" w:customStyle="1" w:styleId="Default">
    <w:name w:val="Default"/>
    <w:rsid w:val="00ED3B38"/>
    <w:pPr>
      <w:widowControl w:val="0"/>
      <w:autoSpaceDE w:val="0"/>
      <w:autoSpaceDN w:val="0"/>
      <w:adjustRightInd w:val="0"/>
    </w:pPr>
    <w:rPr>
      <w:rFonts w:ascii="FZZhunYuan-M02" w:eastAsia="FZZhunYuan-M02" w:cs="FZZhunYuan-M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73491">
      <w:bodyDiv w:val="1"/>
      <w:marLeft w:val="0"/>
      <w:marRight w:val="0"/>
      <w:marTop w:val="0"/>
      <w:marBottom w:val="0"/>
      <w:divBdr>
        <w:top w:val="none" w:sz="0" w:space="0" w:color="auto"/>
        <w:left w:val="none" w:sz="0" w:space="0" w:color="auto"/>
        <w:bottom w:val="none" w:sz="0" w:space="0" w:color="auto"/>
        <w:right w:val="none" w:sz="0" w:space="0" w:color="auto"/>
      </w:divBdr>
    </w:div>
    <w:div w:id="1352074623">
      <w:bodyDiv w:val="1"/>
      <w:marLeft w:val="0"/>
      <w:marRight w:val="0"/>
      <w:marTop w:val="0"/>
      <w:marBottom w:val="0"/>
      <w:divBdr>
        <w:top w:val="none" w:sz="0" w:space="0" w:color="auto"/>
        <w:left w:val="none" w:sz="0" w:space="0" w:color="auto"/>
        <w:bottom w:val="none" w:sz="0" w:space="0" w:color="auto"/>
        <w:right w:val="none" w:sz="0" w:space="0" w:color="auto"/>
      </w:divBdr>
      <w:divsChild>
        <w:div w:id="975985732">
          <w:marLeft w:val="0"/>
          <w:marRight w:val="0"/>
          <w:marTop w:val="150"/>
          <w:marBottom w:val="0"/>
          <w:divBdr>
            <w:top w:val="none" w:sz="0" w:space="0" w:color="auto"/>
            <w:left w:val="none" w:sz="0" w:space="0" w:color="auto"/>
            <w:bottom w:val="none" w:sz="0" w:space="0" w:color="auto"/>
            <w:right w:val="none" w:sz="0" w:space="0" w:color="auto"/>
          </w:divBdr>
          <w:divsChild>
            <w:div w:id="1859349963">
              <w:marLeft w:val="0"/>
              <w:marRight w:val="0"/>
              <w:marTop w:val="0"/>
              <w:marBottom w:val="0"/>
              <w:divBdr>
                <w:top w:val="none" w:sz="0" w:space="0" w:color="auto"/>
                <w:left w:val="none" w:sz="0" w:space="0" w:color="auto"/>
                <w:bottom w:val="none" w:sz="0" w:space="0" w:color="auto"/>
                <w:right w:val="none" w:sz="0" w:space="0" w:color="auto"/>
              </w:divBdr>
              <w:divsChild>
                <w:div w:id="1490901878">
                  <w:marLeft w:val="150"/>
                  <w:marRight w:val="0"/>
                  <w:marTop w:val="0"/>
                  <w:marBottom w:val="0"/>
                  <w:divBdr>
                    <w:top w:val="none" w:sz="0" w:space="0" w:color="auto"/>
                    <w:left w:val="none" w:sz="0" w:space="0" w:color="auto"/>
                    <w:bottom w:val="none" w:sz="0" w:space="0" w:color="auto"/>
                    <w:right w:val="none" w:sz="0" w:space="0" w:color="auto"/>
                  </w:divBdr>
                  <w:divsChild>
                    <w:div w:id="1455443182">
                      <w:marLeft w:val="0"/>
                      <w:marRight w:val="0"/>
                      <w:marTop w:val="0"/>
                      <w:marBottom w:val="300"/>
                      <w:divBdr>
                        <w:top w:val="none" w:sz="0" w:space="0" w:color="auto"/>
                        <w:left w:val="none" w:sz="0" w:space="0" w:color="auto"/>
                        <w:bottom w:val="none" w:sz="0" w:space="0" w:color="auto"/>
                        <w:right w:val="none" w:sz="0" w:space="0" w:color="auto"/>
                      </w:divBdr>
                      <w:divsChild>
                        <w:div w:id="117459615">
                          <w:marLeft w:val="0"/>
                          <w:marRight w:val="0"/>
                          <w:marTop w:val="0"/>
                          <w:marBottom w:val="0"/>
                          <w:divBdr>
                            <w:top w:val="none" w:sz="0" w:space="0" w:color="auto"/>
                            <w:left w:val="none" w:sz="0" w:space="0" w:color="auto"/>
                            <w:bottom w:val="none" w:sz="0" w:space="0" w:color="auto"/>
                            <w:right w:val="none" w:sz="0" w:space="0" w:color="auto"/>
                          </w:divBdr>
                          <w:divsChild>
                            <w:div w:id="881944870">
                              <w:marLeft w:val="0"/>
                              <w:marRight w:val="0"/>
                              <w:marTop w:val="0"/>
                              <w:marBottom w:val="300"/>
                              <w:divBdr>
                                <w:top w:val="none" w:sz="0" w:space="0" w:color="auto"/>
                                <w:left w:val="none" w:sz="0" w:space="0" w:color="auto"/>
                                <w:bottom w:val="none" w:sz="0" w:space="0" w:color="auto"/>
                                <w:right w:val="none" w:sz="0" w:space="0" w:color="auto"/>
                              </w:divBdr>
                              <w:divsChild>
                                <w:div w:id="19242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A4A98-C800-4BF3-8B86-4F3E4345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292</Words>
  <Characters>1667</Characters>
  <Application>Microsoft Office Word</Application>
  <DocSecurity>0</DocSecurity>
  <Lines>13</Lines>
  <Paragraphs>3</Paragraphs>
  <ScaleCrop>false</ScaleCrop>
  <Company>中国平安保险(集团)股份有限公司</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2</cp:revision>
  <cp:lastPrinted>2014-09-24T03:36:00Z</cp:lastPrinted>
  <dcterms:created xsi:type="dcterms:W3CDTF">2018-02-08T06:47:00Z</dcterms:created>
  <dcterms:modified xsi:type="dcterms:W3CDTF">2018-02-08T06:47:00Z</dcterms:modified>
</cp:coreProperties>
</file>